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DE554" w14:textId="24A10782" w:rsidR="00533D3C" w:rsidRDefault="00533D3C" w:rsidP="009C45A2">
      <w:pPr>
        <w:rPr>
          <w:b/>
          <w:caps/>
          <w:color w:val="0095D5" w:themeColor="accent1"/>
          <w:lang w:val="de-DE"/>
        </w:rPr>
      </w:pPr>
      <w:r>
        <w:rPr>
          <w:noProof/>
          <w:sz w:val="48"/>
        </w:rPr>
        <w:drawing>
          <wp:inline distT="0" distB="0" distL="0" distR="0" wp14:anchorId="4B333D42" wp14:editId="701C52B2">
            <wp:extent cx="4766649" cy="1828756"/>
            <wp:effectExtent l="0" t="0" r="0" b="635"/>
            <wp:docPr id="10" name="Grafik 10" descr="O:\SF\SFM\11_SFMM_Product_PR\06_Region DACH\Region DACH Pro\2019\03 Best Cases\Seeed\JPEG - Pressemailing\Seeed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6_Region DACH\Region DACH Pro\2019\03 Best Cases\Seeed\JPEG - Pressemailing\Seeed_017.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 t="11404" r="-5573" b="27837"/>
                    <a:stretch/>
                  </pic:blipFill>
                  <pic:spPr bwMode="auto">
                    <a:xfrm>
                      <a:off x="0" y="0"/>
                      <a:ext cx="4773764" cy="1831486"/>
                    </a:xfrm>
                    <a:prstGeom prst="rect">
                      <a:avLst/>
                    </a:prstGeom>
                    <a:noFill/>
                    <a:ln>
                      <a:noFill/>
                    </a:ln>
                    <a:extLst>
                      <a:ext uri="{53640926-AAD7-44D8-BBD7-CCE9431645EC}">
                        <a14:shadowObscured xmlns:a14="http://schemas.microsoft.com/office/drawing/2010/main"/>
                      </a:ext>
                    </a:extLst>
                  </pic:spPr>
                </pic:pic>
              </a:graphicData>
            </a:graphic>
          </wp:inline>
        </w:drawing>
      </w:r>
    </w:p>
    <w:p w14:paraId="2E13A8D2" w14:textId="7531FA58" w:rsidR="005310F1" w:rsidRDefault="005310F1" w:rsidP="009C45A2">
      <w:pPr>
        <w:rPr>
          <w:b/>
          <w:caps/>
          <w:color w:val="0095D5" w:themeColor="accent1"/>
          <w:lang w:val="de-DE"/>
        </w:rPr>
      </w:pPr>
      <w:r w:rsidRPr="005310F1">
        <w:rPr>
          <w:b/>
          <w:caps/>
          <w:color w:val="0095D5" w:themeColor="accent1"/>
          <w:lang w:val="de-DE"/>
        </w:rPr>
        <w:t xml:space="preserve">Seeed schütteln den Speck </w:t>
      </w:r>
    </w:p>
    <w:p w14:paraId="290E174B" w14:textId="092F9345" w:rsidR="00BD277B" w:rsidRDefault="005310F1" w:rsidP="00D04DA7">
      <w:pPr>
        <w:rPr>
          <w:b/>
          <w:i/>
          <w:lang w:val="de-DE"/>
        </w:rPr>
      </w:pPr>
      <w:bookmarkStart w:id="0" w:name="_Hlk12546313"/>
      <w:r w:rsidRPr="005310F1">
        <w:rPr>
          <w:rFonts w:asciiTheme="majorHAnsi" w:hAnsiTheme="majorHAnsi"/>
          <w:b/>
          <w:lang w:val="de-DE"/>
        </w:rPr>
        <w:t>Launige Lyrics und bombige Beats mit Sennheiser Drahtlostechnik</w:t>
      </w:r>
    </w:p>
    <w:p w14:paraId="3C1A42CC" w14:textId="77777777" w:rsidR="002152EE" w:rsidRDefault="002152EE" w:rsidP="00D04DA7">
      <w:pPr>
        <w:rPr>
          <w:b/>
          <w:i/>
          <w:lang w:val="de-DE"/>
        </w:rPr>
      </w:pPr>
    </w:p>
    <w:p w14:paraId="3AFC1BFC" w14:textId="458228CF" w:rsidR="00D04DA7" w:rsidRDefault="0114AEAA" w:rsidP="0114AEAA">
      <w:pPr>
        <w:rPr>
          <w:b/>
          <w:bCs/>
          <w:lang w:val="de-DE"/>
        </w:rPr>
      </w:pPr>
      <w:r w:rsidRPr="0114AEAA">
        <w:rPr>
          <w:b/>
          <w:bCs/>
          <w:i/>
          <w:iCs/>
          <w:lang w:val="de-DE"/>
        </w:rPr>
        <w:t xml:space="preserve">Wedemark, </w:t>
      </w:r>
      <w:r w:rsidR="003F4890">
        <w:rPr>
          <w:b/>
          <w:bCs/>
          <w:i/>
          <w:iCs/>
          <w:lang w:val="de-DE"/>
        </w:rPr>
        <w:t>12</w:t>
      </w:r>
      <w:r w:rsidRPr="0114AEAA">
        <w:rPr>
          <w:b/>
          <w:bCs/>
          <w:i/>
          <w:iCs/>
          <w:lang w:val="de-DE"/>
        </w:rPr>
        <w:t xml:space="preserve">. </w:t>
      </w:r>
      <w:r w:rsidR="003F4890">
        <w:rPr>
          <w:b/>
          <w:bCs/>
          <w:i/>
          <w:iCs/>
          <w:lang w:val="de-DE"/>
        </w:rPr>
        <w:t>Dezember</w:t>
      </w:r>
      <w:r w:rsidRPr="0114AEAA">
        <w:rPr>
          <w:b/>
          <w:bCs/>
          <w:i/>
          <w:iCs/>
          <w:lang w:val="de-DE"/>
        </w:rPr>
        <w:t xml:space="preserve"> 2019</w:t>
      </w:r>
      <w:r w:rsidRPr="0114AEAA">
        <w:rPr>
          <w:b/>
          <w:bCs/>
          <w:lang w:val="de-DE"/>
        </w:rPr>
        <w:t xml:space="preserve"> – Im Oktober und November 2019 begeisterten </w:t>
      </w:r>
      <w:proofErr w:type="spellStart"/>
      <w:r w:rsidRPr="0114AEAA">
        <w:rPr>
          <w:b/>
          <w:bCs/>
          <w:lang w:val="de-DE"/>
        </w:rPr>
        <w:t>Seeed</w:t>
      </w:r>
      <w:proofErr w:type="spellEnd"/>
      <w:r w:rsidRPr="0114AEAA">
        <w:rPr>
          <w:b/>
          <w:bCs/>
          <w:lang w:val="de-DE"/>
        </w:rPr>
        <w:t xml:space="preserve"> zehntausende Fans auf einer ausverkauften Hallentournee, welche die Berliner</w:t>
      </w:r>
      <w:r w:rsidR="003F4890">
        <w:rPr>
          <w:b/>
          <w:bCs/>
          <w:lang w:val="de-DE"/>
        </w:rPr>
        <w:t xml:space="preserve"> </w:t>
      </w:r>
      <w:r w:rsidRPr="0114AEAA">
        <w:rPr>
          <w:b/>
          <w:bCs/>
          <w:lang w:val="de-DE"/>
        </w:rPr>
        <w:t>Reggae</w:t>
      </w:r>
      <w:r w:rsidR="003F4890">
        <w:rPr>
          <w:b/>
          <w:bCs/>
          <w:lang w:val="de-DE"/>
        </w:rPr>
        <w:t>-</w:t>
      </w:r>
      <w:r w:rsidRPr="0114AEAA">
        <w:rPr>
          <w:b/>
          <w:bCs/>
          <w:lang w:val="de-DE"/>
        </w:rPr>
        <w:t xml:space="preserve">/Dancehall-Bigband durch Deutschland, Österreich, Luxemburg und die Schweiz führte. Sennheiser Digital 6000 Drahtlossysteme sorgten für beste Textverständlichkeit, einen herausragend guten </w:t>
      </w:r>
      <w:proofErr w:type="spellStart"/>
      <w:r w:rsidRPr="0114AEAA">
        <w:rPr>
          <w:b/>
          <w:bCs/>
          <w:lang w:val="de-DE"/>
        </w:rPr>
        <w:t>Vocal</w:t>
      </w:r>
      <w:proofErr w:type="spellEnd"/>
      <w:r w:rsidRPr="0114AEAA">
        <w:rPr>
          <w:b/>
          <w:bCs/>
          <w:lang w:val="de-DE"/>
        </w:rPr>
        <w:t>-Sound sowie eine nuancierte Wiedergabe von Blasinstrumenten und E-Gitarren.</w:t>
      </w:r>
    </w:p>
    <w:bookmarkEnd w:id="0"/>
    <w:p w14:paraId="1E992345" w14:textId="77777777" w:rsidR="0052306F" w:rsidRDefault="0052306F" w:rsidP="001C1474">
      <w:pPr>
        <w:rPr>
          <w:b/>
          <w:lang w:val="de-DE"/>
        </w:rPr>
      </w:pPr>
    </w:p>
    <w:p w14:paraId="1818AE2B" w14:textId="5D8DA8FF" w:rsidR="005310F1" w:rsidRDefault="005310F1" w:rsidP="001C1474">
      <w:pPr>
        <w:rPr>
          <w:rFonts w:asciiTheme="majorHAnsi" w:hAnsiTheme="majorHAnsi"/>
          <w:b/>
          <w:lang w:val="de-DE"/>
        </w:rPr>
      </w:pPr>
      <w:r w:rsidRPr="005310F1">
        <w:rPr>
          <w:rFonts w:asciiTheme="majorHAnsi" w:hAnsiTheme="majorHAnsi"/>
          <w:b/>
          <w:lang w:val="de-DE"/>
        </w:rPr>
        <w:t xml:space="preserve">„This </w:t>
      </w:r>
      <w:proofErr w:type="spellStart"/>
      <w:r w:rsidRPr="005310F1">
        <w:rPr>
          <w:rFonts w:asciiTheme="majorHAnsi" w:hAnsiTheme="majorHAnsi"/>
          <w:b/>
          <w:lang w:val="de-DE"/>
        </w:rPr>
        <w:t>is</w:t>
      </w:r>
      <w:proofErr w:type="spellEnd"/>
      <w:r w:rsidRPr="005310F1">
        <w:rPr>
          <w:rFonts w:asciiTheme="majorHAnsi" w:hAnsiTheme="majorHAnsi"/>
          <w:b/>
          <w:lang w:val="de-DE"/>
        </w:rPr>
        <w:t xml:space="preserve"> </w:t>
      </w:r>
      <w:proofErr w:type="spellStart"/>
      <w:r w:rsidRPr="005310F1">
        <w:rPr>
          <w:rFonts w:asciiTheme="majorHAnsi" w:hAnsiTheme="majorHAnsi"/>
          <w:b/>
          <w:lang w:val="de-DE"/>
        </w:rPr>
        <w:t>Seeed</w:t>
      </w:r>
      <w:proofErr w:type="spellEnd"/>
      <w:r w:rsidRPr="005310F1">
        <w:rPr>
          <w:rFonts w:asciiTheme="majorHAnsi" w:hAnsiTheme="majorHAnsi"/>
          <w:b/>
          <w:lang w:val="de-DE"/>
        </w:rPr>
        <w:t xml:space="preserve"> </w:t>
      </w:r>
      <w:proofErr w:type="spellStart"/>
      <w:r w:rsidRPr="005310F1">
        <w:rPr>
          <w:rFonts w:asciiTheme="majorHAnsi" w:hAnsiTheme="majorHAnsi"/>
          <w:b/>
          <w:lang w:val="de-DE"/>
        </w:rPr>
        <w:t>ya</w:t>
      </w:r>
      <w:proofErr w:type="spellEnd"/>
      <w:r w:rsidRPr="005310F1">
        <w:rPr>
          <w:rFonts w:asciiTheme="majorHAnsi" w:hAnsiTheme="majorHAnsi"/>
          <w:b/>
          <w:lang w:val="de-DE"/>
        </w:rPr>
        <w:t>!“</w:t>
      </w:r>
    </w:p>
    <w:p w14:paraId="3E5A4576" w14:textId="552E9F2F" w:rsidR="005310F1" w:rsidRPr="005310F1" w:rsidRDefault="22EE3606" w:rsidP="22EE3606">
      <w:pPr>
        <w:rPr>
          <w:lang w:val="de-DE"/>
        </w:rPr>
      </w:pPr>
      <w:r w:rsidRPr="22EE3606">
        <w:rPr>
          <w:lang w:val="de-DE"/>
        </w:rPr>
        <w:t xml:space="preserve">Die Frontleute Pierre </w:t>
      </w:r>
      <w:proofErr w:type="spellStart"/>
      <w:r w:rsidRPr="22EE3606">
        <w:rPr>
          <w:lang w:val="de-DE"/>
        </w:rPr>
        <w:t>Baigorry</w:t>
      </w:r>
      <w:proofErr w:type="spellEnd"/>
      <w:r w:rsidRPr="22EE3606">
        <w:rPr>
          <w:lang w:val="de-DE"/>
        </w:rPr>
        <w:t xml:space="preserve"> (auch bekannt als Peter Fox) und Frank </w:t>
      </w:r>
      <w:proofErr w:type="spellStart"/>
      <w:r w:rsidRPr="22EE3606">
        <w:rPr>
          <w:lang w:val="de-DE"/>
        </w:rPr>
        <w:t>Dellé</w:t>
      </w:r>
      <w:proofErr w:type="spellEnd"/>
      <w:r w:rsidRPr="22EE3606">
        <w:rPr>
          <w:lang w:val="de-DE"/>
        </w:rPr>
        <w:t xml:space="preserve"> verwendeten intermodulationsfrei arbeitende SKM 6000 Handsender, welche mit MD 9235 Kapseln bestückt waren. Gleiches galt für die neuen Background-Sänger Eric Wilson (alias </w:t>
      </w:r>
      <w:proofErr w:type="spellStart"/>
      <w:r w:rsidRPr="22EE3606">
        <w:rPr>
          <w:lang w:val="de-DE"/>
        </w:rPr>
        <w:t>Nosliw</w:t>
      </w:r>
      <w:proofErr w:type="spellEnd"/>
      <w:r w:rsidRPr="22EE3606">
        <w:rPr>
          <w:lang w:val="de-DE"/>
        </w:rPr>
        <w:t xml:space="preserve">) und Daniel Stoyanov. Für musikalische Gäste standen zwei SKM 6000 bereit, und zwei weitere SKM 6000 wurden als </w:t>
      </w:r>
      <w:proofErr w:type="spellStart"/>
      <w:r w:rsidRPr="22EE3606">
        <w:rPr>
          <w:lang w:val="de-DE"/>
        </w:rPr>
        <w:t>Spares</w:t>
      </w:r>
      <w:proofErr w:type="spellEnd"/>
      <w:r w:rsidRPr="22EE3606">
        <w:rPr>
          <w:lang w:val="de-DE"/>
        </w:rPr>
        <w:t xml:space="preserve"> vorgehalten. Die Signale von Tenorsaxophon, Bariton-/Basssaxophon und Posaune wurden drahtlos mit SK 6000 Taschensendern übertragen, was ebenso auf die Instrumente des Gitarristen zutraf.</w:t>
      </w:r>
    </w:p>
    <w:p w14:paraId="661D61F3" w14:textId="65D5ED64" w:rsidR="00C7652A" w:rsidRDefault="005310F1" w:rsidP="005310F1">
      <w:pPr>
        <w:rPr>
          <w:lang w:val="de-DE"/>
        </w:rPr>
      </w:pPr>
      <w:r w:rsidRPr="005310F1">
        <w:rPr>
          <w:lang w:val="de-DE"/>
        </w:rPr>
        <w:t>Acht Sennheiser EM 6000 Doppelempfänger waren auf der Tournee verfügbar. Die wegweisenden Sennheiser Digital 6000 Systeme wurden im Frequenzbereich A1-A4 (470 bis 558 MHz) betrieben. Als Antennen fanden zwei passive Sennheiser A 2003-UHF Verwendung, welche die 18 Meter breite Tour-Bühne vollständig abdeckten.</w:t>
      </w:r>
    </w:p>
    <w:p w14:paraId="26223E76" w14:textId="77777777" w:rsidR="007E7A55" w:rsidRDefault="007E7A55" w:rsidP="005310F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C7652A" w:rsidRPr="003F4890" w14:paraId="100D61CA" w14:textId="77777777" w:rsidTr="00207C61">
        <w:tc>
          <w:tcPr>
            <w:tcW w:w="4390" w:type="dxa"/>
          </w:tcPr>
          <w:p w14:paraId="483E78AB" w14:textId="77777777" w:rsidR="00C7652A" w:rsidRPr="005310F1" w:rsidRDefault="00C7652A" w:rsidP="00207C61">
            <w:pPr>
              <w:pStyle w:val="Beschriftung"/>
              <w:rPr>
                <w:highlight w:val="yellow"/>
                <w:lang w:val="de-DE"/>
              </w:rPr>
            </w:pPr>
            <w:r w:rsidRPr="005310F1">
              <w:rPr>
                <w:noProof/>
                <w:highlight w:val="yellow"/>
                <w:lang w:val="de-DE"/>
              </w:rPr>
              <w:lastRenderedPageBreak/>
              <w:drawing>
                <wp:inline distT="0" distB="0" distL="0" distR="0" wp14:anchorId="6C6D3CD3" wp14:editId="0FB50D5C">
                  <wp:extent cx="2426329" cy="1618466"/>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431360" cy="1621822"/>
                          </a:xfrm>
                          <a:prstGeom prst="rect">
                            <a:avLst/>
                          </a:prstGeom>
                          <a:noFill/>
                          <a:ln>
                            <a:noFill/>
                          </a:ln>
                        </pic:spPr>
                      </pic:pic>
                    </a:graphicData>
                  </a:graphic>
                </wp:inline>
              </w:drawing>
            </w:r>
          </w:p>
        </w:tc>
        <w:tc>
          <w:tcPr>
            <w:tcW w:w="3480" w:type="dxa"/>
          </w:tcPr>
          <w:p w14:paraId="1FA8212C" w14:textId="5E7F81AC" w:rsidR="00C7652A" w:rsidRPr="005310F1" w:rsidRDefault="0052306F" w:rsidP="00207C61">
            <w:pPr>
              <w:spacing w:line="240" w:lineRule="auto"/>
              <w:rPr>
                <w:highlight w:val="yellow"/>
                <w:lang w:val="de-DE"/>
              </w:rPr>
            </w:pPr>
            <w:r w:rsidRPr="002152EE">
              <w:rPr>
                <w:sz w:val="15"/>
                <w:szCs w:val="15"/>
                <w:lang w:val="de-DE"/>
              </w:rPr>
              <w:t xml:space="preserve">Die Mitglieder der Band </w:t>
            </w:r>
            <w:proofErr w:type="spellStart"/>
            <w:r w:rsidRPr="002152EE">
              <w:rPr>
                <w:sz w:val="15"/>
                <w:szCs w:val="15"/>
                <w:lang w:val="de-DE"/>
              </w:rPr>
              <w:t>Se</w:t>
            </w:r>
            <w:r w:rsidR="001340DD">
              <w:rPr>
                <w:sz w:val="15"/>
                <w:szCs w:val="15"/>
                <w:lang w:val="de-DE"/>
              </w:rPr>
              <w:t>e</w:t>
            </w:r>
            <w:r w:rsidRPr="002152EE">
              <w:rPr>
                <w:sz w:val="15"/>
                <w:szCs w:val="15"/>
                <w:lang w:val="de-DE"/>
              </w:rPr>
              <w:t>ed</w:t>
            </w:r>
            <w:proofErr w:type="spellEnd"/>
            <w:r w:rsidRPr="002152EE">
              <w:rPr>
                <w:sz w:val="15"/>
                <w:szCs w:val="15"/>
                <w:lang w:val="de-DE"/>
              </w:rPr>
              <w:t xml:space="preserve"> verwendeten</w:t>
            </w:r>
            <w:r w:rsidR="00316B45">
              <w:rPr>
                <w:sz w:val="15"/>
                <w:szCs w:val="15"/>
                <w:lang w:val="de-DE"/>
              </w:rPr>
              <w:t xml:space="preserve"> bei den Konzerten</w:t>
            </w:r>
            <w:r w:rsidRPr="002152EE">
              <w:rPr>
                <w:sz w:val="15"/>
                <w:szCs w:val="15"/>
                <w:lang w:val="de-DE"/>
              </w:rPr>
              <w:t xml:space="preserve"> SKM 6000 Handsender, die mit MD 9235 Kapseln ausgerüstet waren</w:t>
            </w:r>
          </w:p>
        </w:tc>
      </w:tr>
    </w:tbl>
    <w:p w14:paraId="6F150A72" w14:textId="77777777" w:rsidR="007E7A55" w:rsidRDefault="007E7A55" w:rsidP="009955C5">
      <w:pPr>
        <w:rPr>
          <w:lang w:val="de-DE"/>
        </w:rPr>
      </w:pPr>
    </w:p>
    <w:p w14:paraId="3A6069B8" w14:textId="70C22BE8" w:rsidR="007E7A55" w:rsidRPr="007E7A55" w:rsidRDefault="005310F1" w:rsidP="009955C5">
      <w:pPr>
        <w:rPr>
          <w:rFonts w:asciiTheme="majorHAnsi" w:hAnsiTheme="majorHAnsi"/>
          <w:b/>
          <w:lang w:val="de-DE"/>
        </w:rPr>
      </w:pPr>
      <w:r w:rsidRPr="005310F1">
        <w:rPr>
          <w:rFonts w:asciiTheme="majorHAnsi" w:hAnsiTheme="majorHAnsi"/>
          <w:b/>
          <w:lang w:val="de-DE"/>
        </w:rPr>
        <w:t xml:space="preserve">Maximale Spektraleffizienz </w:t>
      </w:r>
    </w:p>
    <w:p w14:paraId="27C342E3" w14:textId="1618C303" w:rsidR="00FA36D5" w:rsidRDefault="005310F1" w:rsidP="009955C5">
      <w:pPr>
        <w:rPr>
          <w:lang w:val="de-DE"/>
        </w:rPr>
      </w:pPr>
      <w:r w:rsidRPr="005310F1">
        <w:rPr>
          <w:lang w:val="de-DE"/>
        </w:rPr>
        <w:t xml:space="preserve">Für Monitormann René Köpke, der </w:t>
      </w:r>
      <w:proofErr w:type="spellStart"/>
      <w:r w:rsidRPr="005310F1">
        <w:rPr>
          <w:lang w:val="de-DE"/>
        </w:rPr>
        <w:t>Seeed</w:t>
      </w:r>
      <w:proofErr w:type="spellEnd"/>
      <w:r w:rsidRPr="005310F1">
        <w:rPr>
          <w:lang w:val="de-DE"/>
        </w:rPr>
        <w:t xml:space="preserve"> seit 2004 begleitet, war der Einsatz der innovativen Sennheiser Digital 6000 Systeme eine Premiere: „Wir hatten auf vorangegangenen Tourneen immer Funkstrecken aus der 2000er-Serie dabei </w:t>
      </w:r>
      <w:r w:rsidR="0082200D">
        <w:rPr>
          <w:lang w:val="de-DE"/>
        </w:rPr>
        <w:t>–</w:t>
      </w:r>
      <w:r w:rsidRPr="005310F1">
        <w:rPr>
          <w:lang w:val="de-DE"/>
        </w:rPr>
        <w:t xml:space="preserve"> der Umstieg auf die neue Digitaltechnik gestaltete sich nach einer kurzen Eingewöhnungsphase vollkommen problemlos“, so Köpke. „Für mich ist es wichtig, möglichst viele Sendestrecken in einem begrenzten Frequenzraum unter</w:t>
      </w:r>
      <w:r w:rsidR="0082200D">
        <w:rPr>
          <w:lang w:val="de-DE"/>
        </w:rPr>
        <w:t>zu</w:t>
      </w:r>
      <w:r w:rsidRPr="005310F1">
        <w:rPr>
          <w:lang w:val="de-DE"/>
        </w:rPr>
        <w:t xml:space="preserve">bringen und mit einem geringen </w:t>
      </w:r>
      <w:proofErr w:type="spellStart"/>
      <w:r w:rsidRPr="005310F1">
        <w:rPr>
          <w:lang w:val="de-DE"/>
        </w:rPr>
        <w:t>Spacing</w:t>
      </w:r>
      <w:proofErr w:type="spellEnd"/>
      <w:r w:rsidRPr="005310F1">
        <w:rPr>
          <w:lang w:val="de-DE"/>
        </w:rPr>
        <w:t xml:space="preserve"> arbeiten zu können. Auf der Bühne kommen während der aktuellen Tournee viele LED-Module und auch </w:t>
      </w:r>
      <w:proofErr w:type="spellStart"/>
      <w:r w:rsidRPr="005310F1">
        <w:rPr>
          <w:lang w:val="de-DE"/>
        </w:rPr>
        <w:t>Fingercams</w:t>
      </w:r>
      <w:proofErr w:type="spellEnd"/>
      <w:r w:rsidRPr="005310F1">
        <w:rPr>
          <w:lang w:val="de-DE"/>
        </w:rPr>
        <w:t xml:space="preserve"> zum Einsatz, welche sich leider mit Einstreuungen in die für meine Arbeit relevanten UHF-Bereiche bemerkbar machen. Befänden sich bei </w:t>
      </w:r>
      <w:proofErr w:type="spellStart"/>
      <w:r w:rsidRPr="005310F1">
        <w:rPr>
          <w:lang w:val="de-DE"/>
        </w:rPr>
        <w:t>Seeed</w:t>
      </w:r>
      <w:proofErr w:type="spellEnd"/>
      <w:r w:rsidRPr="005310F1">
        <w:rPr>
          <w:lang w:val="de-DE"/>
        </w:rPr>
        <w:t xml:space="preserve"> analoge Sendestrecken mit entsprechend großem Frequenzbedarf im Einsatz, hätte ich deutlich Probleme! Die Sennheiser Digital 6000 Systeme helfen mir dabei, eine hohe Kanaldichte betriebssicher in einem begrenzten Frequenzrahmen unterzubringen.“</w:t>
      </w:r>
    </w:p>
    <w:p w14:paraId="3781A0E0" w14:textId="03057590" w:rsidR="00E60D55" w:rsidRDefault="00E60D55" w:rsidP="009955C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E60D55" w:rsidRPr="003F4890" w14:paraId="17567198" w14:textId="77777777" w:rsidTr="00207C61">
        <w:tc>
          <w:tcPr>
            <w:tcW w:w="4390" w:type="dxa"/>
          </w:tcPr>
          <w:p w14:paraId="2860A07F" w14:textId="77777777" w:rsidR="00E60D55" w:rsidRPr="00855E0C" w:rsidRDefault="00E60D55" w:rsidP="00207C61">
            <w:pPr>
              <w:pStyle w:val="Beschriftung"/>
              <w:rPr>
                <w:lang w:val="de-DE"/>
              </w:rPr>
            </w:pPr>
            <w:r>
              <w:rPr>
                <w:noProof/>
                <w:lang w:val="de-DE"/>
              </w:rPr>
              <w:drawing>
                <wp:inline distT="0" distB="0" distL="0" distR="0" wp14:anchorId="6A509F72" wp14:editId="57844726">
                  <wp:extent cx="2462542" cy="164262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466798" cy="1645460"/>
                          </a:xfrm>
                          <a:prstGeom prst="rect">
                            <a:avLst/>
                          </a:prstGeom>
                          <a:noFill/>
                          <a:ln>
                            <a:noFill/>
                          </a:ln>
                        </pic:spPr>
                      </pic:pic>
                    </a:graphicData>
                  </a:graphic>
                </wp:inline>
              </w:drawing>
            </w:r>
          </w:p>
        </w:tc>
        <w:tc>
          <w:tcPr>
            <w:tcW w:w="3480" w:type="dxa"/>
          </w:tcPr>
          <w:p w14:paraId="1DF9E86D" w14:textId="3B4BCF75" w:rsidR="00E60D55" w:rsidRPr="005310F1" w:rsidRDefault="00316B45" w:rsidP="00207C61">
            <w:pPr>
              <w:spacing w:line="240" w:lineRule="auto"/>
              <w:rPr>
                <w:highlight w:val="yellow"/>
                <w:lang w:val="de-DE"/>
              </w:rPr>
            </w:pPr>
            <w:r>
              <w:rPr>
                <w:sz w:val="15"/>
                <w:szCs w:val="15"/>
                <w:lang w:val="de-DE"/>
              </w:rPr>
              <w:t>„D</w:t>
            </w:r>
            <w:r w:rsidRPr="00316B45">
              <w:rPr>
                <w:sz w:val="15"/>
                <w:szCs w:val="15"/>
                <w:lang w:val="de-DE"/>
              </w:rPr>
              <w:t>er Umstieg auf die neue Digitaltechnik gestaltete sich nach einer kurzen Eingewöhnungsphase vollkommen problemlos</w:t>
            </w:r>
            <w:r>
              <w:rPr>
                <w:sz w:val="15"/>
                <w:szCs w:val="15"/>
                <w:lang w:val="de-DE"/>
              </w:rPr>
              <w:t>“ –</w:t>
            </w:r>
            <w:r w:rsidRPr="00316B45">
              <w:rPr>
                <w:sz w:val="15"/>
                <w:szCs w:val="15"/>
                <w:lang w:val="de-DE"/>
              </w:rPr>
              <w:t xml:space="preserve"> </w:t>
            </w:r>
            <w:r w:rsidR="0052306F" w:rsidRPr="0052306F">
              <w:rPr>
                <w:sz w:val="15"/>
                <w:szCs w:val="15"/>
                <w:lang w:val="de-DE"/>
              </w:rPr>
              <w:t xml:space="preserve">Monitormann René Köpke </w:t>
            </w:r>
            <w:r>
              <w:rPr>
                <w:sz w:val="15"/>
                <w:szCs w:val="15"/>
                <w:lang w:val="de-DE"/>
              </w:rPr>
              <w:t>über die</w:t>
            </w:r>
            <w:r w:rsidR="0052306F" w:rsidRPr="0052306F">
              <w:rPr>
                <w:sz w:val="15"/>
                <w:szCs w:val="15"/>
                <w:lang w:val="de-DE"/>
              </w:rPr>
              <w:t xml:space="preserve"> Sennheiser Digital 6000 Systeme</w:t>
            </w:r>
            <w:r w:rsidR="00E60D55" w:rsidRPr="0052306F">
              <w:rPr>
                <w:sz w:val="15"/>
                <w:szCs w:val="15"/>
                <w:lang w:val="de-DE"/>
              </w:rPr>
              <w:t xml:space="preserve"> </w:t>
            </w:r>
          </w:p>
        </w:tc>
      </w:tr>
    </w:tbl>
    <w:p w14:paraId="18F8425B" w14:textId="77777777" w:rsidR="00E60D55" w:rsidRDefault="00E60D55" w:rsidP="009955C5">
      <w:pPr>
        <w:rPr>
          <w:lang w:val="de-DE"/>
        </w:rPr>
      </w:pPr>
    </w:p>
    <w:p w14:paraId="34C36FB7" w14:textId="071664FE" w:rsidR="00E60D55" w:rsidRDefault="005310F1" w:rsidP="009955C5">
      <w:pPr>
        <w:rPr>
          <w:rFonts w:eastAsia="Times New Roman" w:cs="Times New Roman"/>
          <w:color w:val="333333"/>
          <w:szCs w:val="20"/>
          <w:lang w:val="de-DE" w:eastAsia="de-DE"/>
        </w:rPr>
      </w:pPr>
      <w:r w:rsidRPr="005310F1">
        <w:rPr>
          <w:rFonts w:eastAsia="Times New Roman" w:cs="Times New Roman"/>
          <w:color w:val="333333"/>
          <w:szCs w:val="20"/>
          <w:lang w:val="de-DE" w:eastAsia="de-DE"/>
        </w:rPr>
        <w:t xml:space="preserve">Normalerweise wird bei der Einrichtung vielkanaliger Wireless-Setups ein Sicherheitsabstand zwischen den beteiligten Übertragungsfrequenzen eingerichtet. Bei Sennheiser Digital 6000 Systemen ist ein derartiger Schutzabstand nicht erforderlich, so dass Frequenzen einfach in einem äquidistanten Raster (d. h. mit gleichem Abstand zueinander) angeordnet werden können. Sennheiser empfiehlt ein </w:t>
      </w:r>
      <w:proofErr w:type="spellStart"/>
      <w:r w:rsidRPr="005310F1">
        <w:rPr>
          <w:rFonts w:eastAsia="Times New Roman" w:cs="Times New Roman"/>
          <w:color w:val="333333"/>
          <w:szCs w:val="20"/>
          <w:lang w:val="de-DE" w:eastAsia="de-DE"/>
        </w:rPr>
        <w:t>Spacing</w:t>
      </w:r>
      <w:proofErr w:type="spellEnd"/>
      <w:r w:rsidRPr="005310F1">
        <w:rPr>
          <w:rFonts w:eastAsia="Times New Roman" w:cs="Times New Roman"/>
          <w:color w:val="333333"/>
          <w:szCs w:val="20"/>
          <w:lang w:val="de-DE" w:eastAsia="de-DE"/>
        </w:rPr>
        <w:t xml:space="preserve"> von 600 kHz, wobei in der Praxis auch kompaktere </w:t>
      </w:r>
      <w:r w:rsidRPr="005310F1">
        <w:rPr>
          <w:rFonts w:eastAsia="Times New Roman" w:cs="Times New Roman"/>
          <w:color w:val="333333"/>
          <w:szCs w:val="20"/>
          <w:lang w:val="de-DE" w:eastAsia="de-DE"/>
        </w:rPr>
        <w:lastRenderedPageBreak/>
        <w:t>Blöcke mit 400 kHz funktionieren. Die Frequenzverteilung ist nicht nur besonders einfach zu bewerkstelligen, sondern es lassen sich im Vergleich zu den Verfahren anderer Marktteilnehmer auch mehr Übertragungsstrecken in einem definierten Frequenzfenster unterbringen – maximale Spektraleffizienz bei überragender Signalstabilität ist in Zeiten zunehmender Frequenzknappheit ein großer Vorteil.</w:t>
      </w:r>
    </w:p>
    <w:p w14:paraId="79615D85" w14:textId="274DB14D" w:rsidR="00E60D55" w:rsidRDefault="00E60D55" w:rsidP="009955C5">
      <w:pPr>
        <w:rPr>
          <w:rFonts w:eastAsia="Times New Roman" w:cs="Times New Roman"/>
          <w:color w:val="333333"/>
          <w:szCs w:val="20"/>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E60D55" w:rsidRPr="00D04DA7" w14:paraId="6779863A" w14:textId="77777777" w:rsidTr="00207C61">
        <w:trPr>
          <w:trHeight w:val="3251"/>
        </w:trPr>
        <w:tc>
          <w:tcPr>
            <w:tcW w:w="3114" w:type="dxa"/>
          </w:tcPr>
          <w:p w14:paraId="64DECD3F" w14:textId="26472E55" w:rsidR="00E60D55" w:rsidRPr="00855E0C" w:rsidRDefault="005B3713" w:rsidP="00207C61">
            <w:pPr>
              <w:pStyle w:val="Beschriftung"/>
              <w:spacing w:line="240" w:lineRule="auto"/>
              <w:rPr>
                <w:lang w:val="de-DE"/>
              </w:rPr>
            </w:pPr>
            <w:r w:rsidRPr="005310F1">
              <w:rPr>
                <w:lang w:val="de-DE"/>
              </w:rPr>
              <w:t xml:space="preserve">Die Sennheiser Digital 6000 Systeme </w:t>
            </w:r>
            <w:r>
              <w:rPr>
                <w:lang w:val="de-DE"/>
              </w:rPr>
              <w:t>ermöglichen es</w:t>
            </w:r>
            <w:r w:rsidRPr="005310F1">
              <w:rPr>
                <w:lang w:val="de-DE"/>
              </w:rPr>
              <w:t>, eine hohe Kanaldichte betriebssicher in einem begrenzten Frequen</w:t>
            </w:r>
            <w:r w:rsidR="00131BBC">
              <w:rPr>
                <w:lang w:val="de-DE"/>
              </w:rPr>
              <w:t>z</w:t>
            </w:r>
            <w:r w:rsidRPr="005310F1">
              <w:rPr>
                <w:lang w:val="de-DE"/>
              </w:rPr>
              <w:t>rahmen unterzubringen</w:t>
            </w:r>
          </w:p>
        </w:tc>
        <w:tc>
          <w:tcPr>
            <w:tcW w:w="4756" w:type="dxa"/>
          </w:tcPr>
          <w:p w14:paraId="5274D76E" w14:textId="77777777" w:rsidR="00E60D55" w:rsidRPr="00D57198" w:rsidRDefault="00E60D55" w:rsidP="00207C61">
            <w:pPr>
              <w:rPr>
                <w:lang w:val="de-DE"/>
              </w:rPr>
            </w:pPr>
            <w:r>
              <w:rPr>
                <w:noProof/>
                <w:lang w:val="de-DE"/>
              </w:rPr>
              <w:drawing>
                <wp:inline distT="0" distB="0" distL="0" distR="0" wp14:anchorId="3C1F5528" wp14:editId="3E4E3B6B">
                  <wp:extent cx="2392878" cy="1596152"/>
                  <wp:effectExtent l="0" t="0" r="762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399290" cy="1600429"/>
                          </a:xfrm>
                          <a:prstGeom prst="rect">
                            <a:avLst/>
                          </a:prstGeom>
                          <a:noFill/>
                          <a:ln>
                            <a:noFill/>
                          </a:ln>
                        </pic:spPr>
                      </pic:pic>
                    </a:graphicData>
                  </a:graphic>
                </wp:inline>
              </w:drawing>
            </w:r>
          </w:p>
        </w:tc>
      </w:tr>
    </w:tbl>
    <w:p w14:paraId="718197DD" w14:textId="77777777" w:rsidR="00E60D55" w:rsidRPr="007E7A55" w:rsidRDefault="00E60D55" w:rsidP="009955C5">
      <w:pPr>
        <w:rPr>
          <w:rFonts w:eastAsia="Times New Roman" w:cs="Times New Roman"/>
          <w:color w:val="333333"/>
          <w:szCs w:val="20"/>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C7652A" w:rsidRPr="003F4890" w14:paraId="2B8B0A4B" w14:textId="77777777" w:rsidTr="00207C61">
        <w:tc>
          <w:tcPr>
            <w:tcW w:w="4390" w:type="dxa"/>
          </w:tcPr>
          <w:p w14:paraId="1BF70766" w14:textId="77777777" w:rsidR="00C7652A" w:rsidRPr="00855E0C" w:rsidRDefault="00C7652A" w:rsidP="00207C61">
            <w:pPr>
              <w:pStyle w:val="Beschriftung"/>
              <w:rPr>
                <w:lang w:val="de-DE"/>
              </w:rPr>
            </w:pPr>
            <w:r>
              <w:rPr>
                <w:noProof/>
                <w:lang w:val="de-DE"/>
              </w:rPr>
              <w:drawing>
                <wp:inline distT="0" distB="0" distL="0" distR="0" wp14:anchorId="1016A801" wp14:editId="06F3C993">
                  <wp:extent cx="2399168" cy="1600348"/>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402484" cy="1602560"/>
                          </a:xfrm>
                          <a:prstGeom prst="rect">
                            <a:avLst/>
                          </a:prstGeom>
                          <a:noFill/>
                          <a:ln>
                            <a:noFill/>
                          </a:ln>
                        </pic:spPr>
                      </pic:pic>
                    </a:graphicData>
                  </a:graphic>
                </wp:inline>
              </w:drawing>
            </w:r>
          </w:p>
        </w:tc>
        <w:tc>
          <w:tcPr>
            <w:tcW w:w="3480" w:type="dxa"/>
          </w:tcPr>
          <w:p w14:paraId="6EE392FE" w14:textId="563CBF69" w:rsidR="00C7652A" w:rsidRPr="005B3713" w:rsidRDefault="005B3713" w:rsidP="00207C61">
            <w:pPr>
              <w:spacing w:line="240" w:lineRule="auto"/>
              <w:rPr>
                <w:sz w:val="15"/>
                <w:szCs w:val="15"/>
                <w:highlight w:val="yellow"/>
                <w:lang w:val="de-DE"/>
              </w:rPr>
            </w:pPr>
            <w:r w:rsidRPr="005B3713">
              <w:rPr>
                <w:rFonts w:eastAsia="Times New Roman" w:cs="Times New Roman"/>
                <w:color w:val="333333"/>
                <w:sz w:val="15"/>
                <w:szCs w:val="15"/>
                <w:lang w:val="de-DE" w:eastAsia="de-DE"/>
              </w:rPr>
              <w:t>Im Vergleich zu den Verfahren anderer Marktteilnehmer lassen sich mehr Übertragungsstrecken in einem definierten Frequenzfenster unterbringen</w:t>
            </w:r>
          </w:p>
        </w:tc>
      </w:tr>
    </w:tbl>
    <w:p w14:paraId="175AE170" w14:textId="14874D2C" w:rsidR="00C7652A" w:rsidRDefault="00C7652A" w:rsidP="009955C5">
      <w:pPr>
        <w:rPr>
          <w:rFonts w:asciiTheme="majorHAnsi" w:eastAsia="Times New Roman" w:hAnsiTheme="majorHAnsi" w:cs="Times New Roman"/>
          <w:b/>
          <w:color w:val="333333"/>
          <w:szCs w:val="20"/>
          <w:lang w:val="de-DE" w:eastAsia="de-DE"/>
        </w:rPr>
      </w:pPr>
    </w:p>
    <w:p w14:paraId="2A89DD85" w14:textId="25F61B7B" w:rsidR="005310F1" w:rsidRDefault="005310F1" w:rsidP="009955C5">
      <w:pPr>
        <w:rPr>
          <w:rFonts w:asciiTheme="majorHAnsi" w:eastAsia="Times New Roman" w:hAnsiTheme="majorHAnsi" w:cs="Times New Roman"/>
          <w:b/>
          <w:color w:val="333333"/>
          <w:szCs w:val="20"/>
          <w:lang w:val="de-DE" w:eastAsia="de-DE"/>
        </w:rPr>
      </w:pPr>
      <w:r w:rsidRPr="005310F1">
        <w:rPr>
          <w:rFonts w:asciiTheme="majorHAnsi" w:eastAsia="Times New Roman" w:hAnsiTheme="majorHAnsi" w:cs="Times New Roman"/>
          <w:b/>
          <w:color w:val="333333"/>
          <w:szCs w:val="20"/>
          <w:lang w:val="de-DE" w:eastAsia="de-DE"/>
        </w:rPr>
        <w:t>Erstklassiger Sound</w:t>
      </w:r>
      <w:r>
        <w:rPr>
          <w:rFonts w:asciiTheme="majorHAnsi" w:eastAsia="Times New Roman" w:hAnsiTheme="majorHAnsi" w:cs="Times New Roman"/>
          <w:b/>
          <w:color w:val="333333"/>
          <w:szCs w:val="20"/>
          <w:lang w:val="de-DE" w:eastAsia="de-DE"/>
        </w:rPr>
        <w:t xml:space="preserve"> </w:t>
      </w:r>
    </w:p>
    <w:p w14:paraId="7DCB2A00" w14:textId="4B7813A4" w:rsidR="005310F1" w:rsidRDefault="005310F1" w:rsidP="0094396A">
      <w:pPr>
        <w:rPr>
          <w:lang w:val="de-DE" w:eastAsia="de-DE"/>
        </w:rPr>
      </w:pPr>
      <w:r w:rsidRPr="005310F1">
        <w:rPr>
          <w:lang w:val="de-DE" w:eastAsia="de-DE"/>
        </w:rPr>
        <w:t>Vom Klang der Sennheiser Digital 6000 Systeme zeigte sich René Köpke restlos überzeugt: „Bezüglich des Sounds kann ich nur Gutes über die Digital 6000 Systeme berichten. Die Handsender klingen vollkommen einwandfrei, wenn wirklich laut in die Kapseln gesungen wird. Gelegentlich wird von Guitar-</w:t>
      </w:r>
      <w:proofErr w:type="spellStart"/>
      <w:r w:rsidRPr="005310F1">
        <w:rPr>
          <w:lang w:val="de-DE" w:eastAsia="de-DE"/>
        </w:rPr>
        <w:t>Techs</w:t>
      </w:r>
      <w:proofErr w:type="spellEnd"/>
      <w:r w:rsidRPr="005310F1">
        <w:rPr>
          <w:lang w:val="de-DE" w:eastAsia="de-DE"/>
        </w:rPr>
        <w:t xml:space="preserve"> behauptet, dass sich </w:t>
      </w:r>
      <w:bookmarkStart w:id="1" w:name="_GoBack"/>
      <w:bookmarkEnd w:id="1"/>
      <w:r w:rsidRPr="005310F1">
        <w:rPr>
          <w:lang w:val="de-DE" w:eastAsia="de-DE"/>
        </w:rPr>
        <w:t>bei einer digitalen</w:t>
      </w:r>
      <w:r w:rsidR="00C7652A">
        <w:rPr>
          <w:lang w:val="de-DE" w:eastAsia="de-DE"/>
        </w:rPr>
        <w:t xml:space="preserve"> </w:t>
      </w:r>
      <w:r w:rsidRPr="005310F1">
        <w:rPr>
          <w:lang w:val="de-DE" w:eastAsia="de-DE"/>
        </w:rPr>
        <w:t xml:space="preserve">Drahtlosübertragung </w:t>
      </w:r>
      <w:r w:rsidR="00AF3C17">
        <w:rPr>
          <w:lang w:val="de-DE" w:eastAsia="de-DE"/>
        </w:rPr>
        <w:t xml:space="preserve">eine </w:t>
      </w:r>
      <w:r w:rsidRPr="005310F1">
        <w:rPr>
          <w:lang w:val="de-DE" w:eastAsia="de-DE"/>
        </w:rPr>
        <w:t xml:space="preserve">unvermeidlich entstehende Latenz bemerkbar macht, was ich jedoch nicht bestätigen kann </w:t>
      </w:r>
      <w:r w:rsidR="00AF3C17">
        <w:rPr>
          <w:lang w:val="de-DE" w:eastAsia="de-DE"/>
        </w:rPr>
        <w:t>–</w:t>
      </w:r>
      <w:r w:rsidRPr="005310F1">
        <w:rPr>
          <w:lang w:val="de-DE" w:eastAsia="de-DE"/>
        </w:rPr>
        <w:t xml:space="preserve"> mir ist zum Thema Latenz in der Praxis nichts Negatives aufgefallen!“</w:t>
      </w:r>
      <w:r w:rsidR="00AF3C17">
        <w:rPr>
          <w:lang w:val="de-DE" w:eastAsia="de-DE"/>
        </w:rPr>
        <w:t xml:space="preserve"> </w:t>
      </w:r>
      <w:r w:rsidRPr="005310F1">
        <w:rPr>
          <w:lang w:val="de-DE" w:eastAsia="de-DE"/>
        </w:rPr>
        <w:t>Zur Berechnung geeigneter Übertragungsfrequenzen verwendete René Köpke den Sennheiser Wireless System Manager. Die auf einem Laptop installierte WSM-Software diente während der Shows darüber hinaus der Kontrolle von HF-</w:t>
      </w:r>
      <w:r w:rsidR="003E576F">
        <w:rPr>
          <w:lang w:val="de-DE" w:eastAsia="de-DE"/>
        </w:rPr>
        <w:t xml:space="preserve"> </w:t>
      </w:r>
      <w:r w:rsidRPr="005310F1">
        <w:rPr>
          <w:lang w:val="de-DE" w:eastAsia="de-DE"/>
        </w:rPr>
        <w:t xml:space="preserve">und NF-Pegeln sowie der Übersicht über die Ladezustände der BA 60 und BA 61 Akkus. Letztere wurden auf der Tournee </w:t>
      </w:r>
      <w:r w:rsidRPr="005310F1">
        <w:rPr>
          <w:lang w:val="de-DE" w:eastAsia="de-DE"/>
        </w:rPr>
        <w:lastRenderedPageBreak/>
        <w:t>über zwei 19“-Ladestationen des Typs L 6000 (mit passenden Lademodulen LM 6060 und LM 6061) mit frischer Energie versorgt: „Das funktioniert wunderbar, und die verbleibende Laufzeit wird in der WSM-Software absolut zuverlässig angezeigt“, berichtete René Köpke.</w:t>
      </w:r>
    </w:p>
    <w:p w14:paraId="701C1639" w14:textId="77777777" w:rsidR="00316B45" w:rsidRDefault="00316B45" w:rsidP="0094396A">
      <w:pPr>
        <w:rPr>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C7652A" w:rsidRPr="00D04DA7" w14:paraId="61C5DA0E" w14:textId="77777777" w:rsidTr="00207C61">
        <w:trPr>
          <w:trHeight w:val="3251"/>
        </w:trPr>
        <w:tc>
          <w:tcPr>
            <w:tcW w:w="3114" w:type="dxa"/>
          </w:tcPr>
          <w:p w14:paraId="09A5B531" w14:textId="7DFD78FF" w:rsidR="00C7652A" w:rsidRPr="00855E0C" w:rsidRDefault="005B3713" w:rsidP="00207C61">
            <w:pPr>
              <w:pStyle w:val="Beschriftung"/>
              <w:spacing w:line="240" w:lineRule="auto"/>
              <w:rPr>
                <w:lang w:val="de-DE"/>
              </w:rPr>
            </w:pPr>
            <w:r>
              <w:rPr>
                <w:szCs w:val="15"/>
                <w:lang w:val="de-DE"/>
              </w:rPr>
              <w:t>Mit der WSM-Software konnten während der Shows die HF-</w:t>
            </w:r>
            <w:r w:rsidR="005378CC">
              <w:rPr>
                <w:szCs w:val="15"/>
                <w:lang w:val="de-DE"/>
              </w:rPr>
              <w:t xml:space="preserve"> </w:t>
            </w:r>
            <w:r>
              <w:rPr>
                <w:szCs w:val="15"/>
                <w:lang w:val="de-DE"/>
              </w:rPr>
              <w:t>und NF-Pegel kontrolliert werden</w:t>
            </w:r>
            <w:r w:rsidR="00C7652A" w:rsidRPr="00E51CFE">
              <w:rPr>
                <w:szCs w:val="15"/>
                <w:lang w:val="de-DE"/>
              </w:rPr>
              <w:t xml:space="preserve"> </w:t>
            </w:r>
          </w:p>
        </w:tc>
        <w:tc>
          <w:tcPr>
            <w:tcW w:w="4756" w:type="dxa"/>
          </w:tcPr>
          <w:p w14:paraId="3524D9D7" w14:textId="77777777" w:rsidR="00C7652A" w:rsidRPr="00D57198" w:rsidRDefault="00C7652A" w:rsidP="00207C61">
            <w:pPr>
              <w:rPr>
                <w:lang w:val="de-DE"/>
              </w:rPr>
            </w:pPr>
            <w:r>
              <w:rPr>
                <w:noProof/>
                <w:lang w:val="de-DE"/>
              </w:rPr>
              <w:drawing>
                <wp:inline distT="0" distB="0" distL="0" distR="0" wp14:anchorId="7E4B39D4" wp14:editId="317CD88B">
                  <wp:extent cx="2641851" cy="1762227"/>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648473" cy="1766644"/>
                          </a:xfrm>
                          <a:prstGeom prst="rect">
                            <a:avLst/>
                          </a:prstGeom>
                          <a:noFill/>
                          <a:ln>
                            <a:noFill/>
                          </a:ln>
                        </pic:spPr>
                      </pic:pic>
                    </a:graphicData>
                  </a:graphic>
                </wp:inline>
              </w:drawing>
            </w:r>
          </w:p>
        </w:tc>
      </w:tr>
    </w:tbl>
    <w:p w14:paraId="3BD34EEB" w14:textId="6CDF4B88" w:rsidR="005310F1" w:rsidRDefault="005310F1" w:rsidP="0094396A">
      <w:pPr>
        <w:rPr>
          <w:rFonts w:asciiTheme="majorHAnsi" w:hAnsiTheme="majorHAnsi"/>
          <w:b/>
          <w:lang w:val="de-DE" w:eastAsia="de-DE"/>
        </w:rPr>
      </w:pPr>
      <w:r w:rsidRPr="005310F1">
        <w:rPr>
          <w:rFonts w:asciiTheme="majorHAnsi" w:hAnsiTheme="majorHAnsi"/>
          <w:b/>
          <w:lang w:val="de-DE" w:eastAsia="de-DE"/>
        </w:rPr>
        <w:t>In-</w:t>
      </w:r>
      <w:proofErr w:type="spellStart"/>
      <w:r w:rsidRPr="005310F1">
        <w:rPr>
          <w:rFonts w:asciiTheme="majorHAnsi" w:hAnsiTheme="majorHAnsi"/>
          <w:b/>
          <w:lang w:val="de-DE" w:eastAsia="de-DE"/>
        </w:rPr>
        <w:t>Ear</w:t>
      </w:r>
      <w:proofErr w:type="spellEnd"/>
      <w:r w:rsidRPr="005310F1">
        <w:rPr>
          <w:rFonts w:asciiTheme="majorHAnsi" w:hAnsiTheme="majorHAnsi"/>
          <w:b/>
          <w:lang w:val="de-DE" w:eastAsia="de-DE"/>
        </w:rPr>
        <w:t>-Monitoring mit der Sennheiser 2000er-Serie</w:t>
      </w:r>
    </w:p>
    <w:p w14:paraId="400CAB11" w14:textId="77777777" w:rsidR="005310F1" w:rsidRPr="005310F1" w:rsidRDefault="005310F1" w:rsidP="005310F1">
      <w:pPr>
        <w:rPr>
          <w:lang w:val="de-DE" w:eastAsia="de-DE"/>
        </w:rPr>
      </w:pPr>
      <w:r w:rsidRPr="005310F1">
        <w:rPr>
          <w:lang w:val="de-DE" w:eastAsia="de-DE"/>
        </w:rPr>
        <w:t>Bis zur Verfügbarkeit digital arbeitender IEM-Drahtlossysteme setzt René Köpke auf bewährte analoge Funkstrecken aus der Sennheiser 2000er-Serie: In einem 19“-Rack am Monitorplatz waren auf der Tournee acht SR 2050 IEM Doppelsender zu entdecken, die mit zwei AC 3200-II Achtkanal-</w:t>
      </w:r>
      <w:proofErr w:type="spellStart"/>
      <w:r w:rsidRPr="005310F1">
        <w:rPr>
          <w:lang w:val="de-DE" w:eastAsia="de-DE"/>
        </w:rPr>
        <w:t>Combinern</w:t>
      </w:r>
      <w:proofErr w:type="spellEnd"/>
      <w:r w:rsidRPr="005310F1">
        <w:rPr>
          <w:lang w:val="de-DE" w:eastAsia="de-DE"/>
        </w:rPr>
        <w:t xml:space="preserve"> verbunden waren. Als zirkular polarisierte Wendelantennen kamen zwei Sennheiser A 5000-CP mit bekanntermaßen hervorragenden HF-Eigenschaften zum Einsatz.</w:t>
      </w:r>
    </w:p>
    <w:p w14:paraId="54708617" w14:textId="77777777" w:rsidR="001D2505" w:rsidRPr="001D2505" w:rsidRDefault="001D2505" w:rsidP="00C7652A">
      <w:pPr>
        <w:rPr>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C7652A" w:rsidRPr="003F4890" w14:paraId="66D043CE" w14:textId="77777777" w:rsidTr="00207C61">
        <w:tc>
          <w:tcPr>
            <w:tcW w:w="4390" w:type="dxa"/>
          </w:tcPr>
          <w:p w14:paraId="12E4C153" w14:textId="77777777" w:rsidR="00C7652A" w:rsidRPr="00855E0C" w:rsidRDefault="00C7652A" w:rsidP="00207C61">
            <w:pPr>
              <w:pStyle w:val="Beschriftung"/>
              <w:rPr>
                <w:lang w:val="de-DE"/>
              </w:rPr>
            </w:pPr>
            <w:r>
              <w:rPr>
                <w:noProof/>
                <w:lang w:val="de-DE"/>
              </w:rPr>
              <w:drawing>
                <wp:inline distT="0" distB="0" distL="0" distR="0" wp14:anchorId="6FB5ED1F" wp14:editId="6BEED62A">
                  <wp:extent cx="2372008" cy="158223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376495" cy="1585224"/>
                          </a:xfrm>
                          <a:prstGeom prst="rect">
                            <a:avLst/>
                          </a:prstGeom>
                          <a:noFill/>
                          <a:ln>
                            <a:noFill/>
                          </a:ln>
                        </pic:spPr>
                      </pic:pic>
                    </a:graphicData>
                  </a:graphic>
                </wp:inline>
              </w:drawing>
            </w:r>
          </w:p>
        </w:tc>
        <w:tc>
          <w:tcPr>
            <w:tcW w:w="3480" w:type="dxa"/>
          </w:tcPr>
          <w:p w14:paraId="6CD948F1" w14:textId="41E3CFF5" w:rsidR="00C7652A" w:rsidRPr="005310F1" w:rsidRDefault="005B3713" w:rsidP="00207C61">
            <w:pPr>
              <w:spacing w:line="240" w:lineRule="auto"/>
              <w:rPr>
                <w:highlight w:val="yellow"/>
                <w:lang w:val="de-DE"/>
              </w:rPr>
            </w:pPr>
            <w:r w:rsidRPr="001D2505">
              <w:rPr>
                <w:sz w:val="15"/>
                <w:szCs w:val="15"/>
                <w:lang w:val="de-DE"/>
              </w:rPr>
              <w:t>Auf der Tournee setzte</w:t>
            </w:r>
            <w:r w:rsidR="001D2505" w:rsidRPr="001D2505">
              <w:rPr>
                <w:sz w:val="15"/>
                <w:szCs w:val="15"/>
                <w:lang w:val="de-DE"/>
              </w:rPr>
              <w:t xml:space="preserve"> Monitormann</w:t>
            </w:r>
            <w:r w:rsidRPr="001D2505">
              <w:rPr>
                <w:sz w:val="15"/>
                <w:szCs w:val="15"/>
                <w:lang w:val="de-DE"/>
              </w:rPr>
              <w:t xml:space="preserve"> </w:t>
            </w:r>
            <w:r w:rsidR="001D2505" w:rsidRPr="001D2505">
              <w:rPr>
                <w:sz w:val="15"/>
                <w:szCs w:val="15"/>
                <w:lang w:val="de-DE"/>
              </w:rPr>
              <w:t xml:space="preserve">René Köpke auf die </w:t>
            </w:r>
            <w:r w:rsidR="00131BBC">
              <w:rPr>
                <w:sz w:val="15"/>
                <w:szCs w:val="15"/>
                <w:lang w:val="de-DE"/>
              </w:rPr>
              <w:t xml:space="preserve">2000er </w:t>
            </w:r>
            <w:r w:rsidR="001D2505" w:rsidRPr="001D2505">
              <w:rPr>
                <w:sz w:val="15"/>
                <w:szCs w:val="15"/>
                <w:lang w:val="de-DE"/>
              </w:rPr>
              <w:t>IEM Drahtlossysteme</w:t>
            </w:r>
            <w:r w:rsidR="00AF3C17">
              <w:rPr>
                <w:sz w:val="15"/>
                <w:szCs w:val="15"/>
                <w:lang w:val="de-DE"/>
              </w:rPr>
              <w:t xml:space="preserve"> von Sennheiser</w:t>
            </w:r>
          </w:p>
        </w:tc>
      </w:tr>
    </w:tbl>
    <w:p w14:paraId="351BFB80" w14:textId="77777777" w:rsidR="001D2505" w:rsidRDefault="001D2505" w:rsidP="009955C5">
      <w:pPr>
        <w:rPr>
          <w:rFonts w:asciiTheme="majorHAnsi" w:eastAsia="Times New Roman" w:hAnsiTheme="majorHAnsi" w:cs="Times New Roman"/>
          <w:b/>
          <w:color w:val="333333"/>
          <w:szCs w:val="20"/>
          <w:lang w:val="de-DE" w:eastAsia="de-DE"/>
        </w:rPr>
      </w:pPr>
    </w:p>
    <w:p w14:paraId="19196753" w14:textId="7BD4FDDD" w:rsidR="005310F1" w:rsidRDefault="005310F1" w:rsidP="009955C5">
      <w:pPr>
        <w:rPr>
          <w:rFonts w:asciiTheme="majorHAnsi" w:eastAsia="Times New Roman" w:hAnsiTheme="majorHAnsi" w:cs="Times New Roman"/>
          <w:b/>
          <w:color w:val="333333"/>
          <w:szCs w:val="20"/>
          <w:lang w:val="de-DE" w:eastAsia="de-DE"/>
        </w:rPr>
      </w:pPr>
      <w:r w:rsidRPr="005310F1">
        <w:rPr>
          <w:rFonts w:asciiTheme="majorHAnsi" w:eastAsia="Times New Roman" w:hAnsiTheme="majorHAnsi" w:cs="Times New Roman"/>
          <w:b/>
          <w:color w:val="333333"/>
          <w:szCs w:val="20"/>
          <w:lang w:val="de-DE" w:eastAsia="de-DE"/>
        </w:rPr>
        <w:t xml:space="preserve">BAM </w:t>
      </w:r>
      <w:proofErr w:type="spellStart"/>
      <w:r w:rsidRPr="005310F1">
        <w:rPr>
          <w:rFonts w:asciiTheme="majorHAnsi" w:eastAsia="Times New Roman" w:hAnsiTheme="majorHAnsi" w:cs="Times New Roman"/>
          <w:b/>
          <w:color w:val="333333"/>
          <w:szCs w:val="20"/>
          <w:lang w:val="de-DE" w:eastAsia="de-DE"/>
        </w:rPr>
        <w:t>BAM</w:t>
      </w:r>
      <w:proofErr w:type="spellEnd"/>
      <w:r w:rsidRPr="005310F1">
        <w:rPr>
          <w:rFonts w:asciiTheme="majorHAnsi" w:eastAsia="Times New Roman" w:hAnsiTheme="majorHAnsi" w:cs="Times New Roman"/>
          <w:b/>
          <w:color w:val="333333"/>
          <w:szCs w:val="20"/>
          <w:lang w:val="de-DE" w:eastAsia="de-DE"/>
        </w:rPr>
        <w:t xml:space="preserve"> = Knaller!</w:t>
      </w:r>
    </w:p>
    <w:p w14:paraId="59FB0E9A" w14:textId="2C2E527E" w:rsidR="00C7652A" w:rsidRDefault="005310F1" w:rsidP="005310F1">
      <w:pPr>
        <w:rPr>
          <w:lang w:val="de-DE" w:eastAsia="de-DE"/>
        </w:rPr>
      </w:pPr>
      <w:r w:rsidRPr="005310F1">
        <w:rPr>
          <w:lang w:val="de-DE" w:eastAsia="de-DE"/>
        </w:rPr>
        <w:t xml:space="preserve">Für die im Oktober und November 2019 absolvierte Hallentournee von </w:t>
      </w:r>
      <w:proofErr w:type="spellStart"/>
      <w:r w:rsidRPr="005310F1">
        <w:rPr>
          <w:lang w:val="de-DE" w:eastAsia="de-DE"/>
        </w:rPr>
        <w:t>Seeed</w:t>
      </w:r>
      <w:proofErr w:type="spellEnd"/>
      <w:r w:rsidRPr="005310F1">
        <w:rPr>
          <w:lang w:val="de-DE" w:eastAsia="de-DE"/>
        </w:rPr>
        <w:t xml:space="preserve"> wäre die Metapher „Triumphzug“ eine schiere Untertreibung – Deutschlands größte Hallen konnten von den Berliner „Dancehall Caballeros“ mehrfach an bis zu drei Terminen vollständig ausverkauft werden.</w:t>
      </w:r>
    </w:p>
    <w:p w14:paraId="081F6BEA" w14:textId="77777777" w:rsidR="001D2505" w:rsidRDefault="001D2505" w:rsidP="005310F1">
      <w:pPr>
        <w:rPr>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C7652A" w:rsidRPr="00D04DA7" w14:paraId="609940CE" w14:textId="77777777" w:rsidTr="00207C61">
        <w:trPr>
          <w:trHeight w:val="3251"/>
        </w:trPr>
        <w:tc>
          <w:tcPr>
            <w:tcW w:w="3114" w:type="dxa"/>
          </w:tcPr>
          <w:p w14:paraId="1F9FC69D" w14:textId="531F57CC" w:rsidR="00C7652A" w:rsidRPr="00855E0C" w:rsidRDefault="002152EE" w:rsidP="00207C61">
            <w:pPr>
              <w:pStyle w:val="Beschriftung"/>
              <w:spacing w:line="240" w:lineRule="auto"/>
              <w:rPr>
                <w:lang w:val="de-DE"/>
              </w:rPr>
            </w:pPr>
            <w:r>
              <w:rPr>
                <w:szCs w:val="15"/>
                <w:lang w:val="de-DE"/>
              </w:rPr>
              <w:lastRenderedPageBreak/>
              <w:t xml:space="preserve">Der bis ins Detail ausgearbeitete Sound </w:t>
            </w:r>
            <w:r w:rsidR="00316B45">
              <w:rPr>
                <w:szCs w:val="15"/>
                <w:lang w:val="de-DE"/>
              </w:rPr>
              <w:t>ließ</w:t>
            </w:r>
            <w:r>
              <w:rPr>
                <w:szCs w:val="15"/>
                <w:lang w:val="de-DE"/>
              </w:rPr>
              <w:t xml:space="preserve"> bei den Konzert</w:t>
            </w:r>
            <w:r w:rsidR="00316B45">
              <w:rPr>
                <w:szCs w:val="15"/>
                <w:lang w:val="de-DE"/>
              </w:rPr>
              <w:t>besuchern</w:t>
            </w:r>
            <w:r>
              <w:rPr>
                <w:szCs w:val="15"/>
                <w:lang w:val="de-DE"/>
              </w:rPr>
              <w:t xml:space="preserve"> </w:t>
            </w:r>
            <w:r w:rsidR="00316B45">
              <w:rPr>
                <w:szCs w:val="15"/>
                <w:lang w:val="de-DE"/>
              </w:rPr>
              <w:t>keine Wünsche offen</w:t>
            </w:r>
            <w:r w:rsidR="001D2505">
              <w:rPr>
                <w:szCs w:val="15"/>
                <w:lang w:val="de-DE"/>
              </w:rPr>
              <w:t xml:space="preserve"> </w:t>
            </w:r>
          </w:p>
        </w:tc>
        <w:tc>
          <w:tcPr>
            <w:tcW w:w="4756" w:type="dxa"/>
          </w:tcPr>
          <w:p w14:paraId="4F934A61" w14:textId="77777777" w:rsidR="00C7652A" w:rsidRPr="00D57198" w:rsidRDefault="00C7652A" w:rsidP="00207C61">
            <w:pPr>
              <w:rPr>
                <w:lang w:val="de-DE"/>
              </w:rPr>
            </w:pPr>
            <w:r>
              <w:rPr>
                <w:noProof/>
                <w:lang w:val="de-DE"/>
              </w:rPr>
              <w:drawing>
                <wp:inline distT="0" distB="0" distL="0" distR="0" wp14:anchorId="7258094E" wp14:editId="3CC27A50">
                  <wp:extent cx="2684352" cy="1790578"/>
                  <wp:effectExtent l="0" t="0" r="1905"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693810" cy="1796887"/>
                          </a:xfrm>
                          <a:prstGeom prst="rect">
                            <a:avLst/>
                          </a:prstGeom>
                          <a:noFill/>
                          <a:ln>
                            <a:noFill/>
                          </a:ln>
                        </pic:spPr>
                      </pic:pic>
                    </a:graphicData>
                  </a:graphic>
                </wp:inline>
              </w:drawing>
            </w:r>
          </w:p>
        </w:tc>
      </w:tr>
    </w:tbl>
    <w:p w14:paraId="2BC65B66" w14:textId="29000CF9" w:rsidR="005310F1" w:rsidRDefault="22EE3606" w:rsidP="22EE3606">
      <w:pPr>
        <w:rPr>
          <w:lang w:val="de-DE" w:eastAsia="de-DE"/>
        </w:rPr>
      </w:pPr>
      <w:r w:rsidRPr="22EE3606">
        <w:rPr>
          <w:lang w:val="de-DE" w:eastAsia="de-DE"/>
        </w:rPr>
        <w:t xml:space="preserve">„BAM </w:t>
      </w:r>
      <w:proofErr w:type="spellStart"/>
      <w:r w:rsidRPr="22EE3606">
        <w:rPr>
          <w:lang w:val="de-DE" w:eastAsia="de-DE"/>
        </w:rPr>
        <w:t>BAM</w:t>
      </w:r>
      <w:proofErr w:type="spellEnd"/>
      <w:r w:rsidRPr="22EE3606">
        <w:rPr>
          <w:lang w:val="de-DE" w:eastAsia="de-DE"/>
        </w:rPr>
        <w:t xml:space="preserve">“ lautet der Titel des aktuellen </w:t>
      </w:r>
      <w:proofErr w:type="spellStart"/>
      <w:r w:rsidRPr="22EE3606">
        <w:rPr>
          <w:lang w:val="de-DE" w:eastAsia="de-DE"/>
        </w:rPr>
        <w:t>Seeed</w:t>
      </w:r>
      <w:proofErr w:type="spellEnd"/>
      <w:r w:rsidRPr="22EE3606">
        <w:rPr>
          <w:lang w:val="de-DE" w:eastAsia="de-DE"/>
        </w:rPr>
        <w:t xml:space="preserve"> Albums und beschreibt auch die Stimmung bei den Konzerten mit einer der jamaikanischen Dancehall-Kultur entliehenen Onomatopoesie perfekt – in hiesigen Breitengraden würde man ohne jegliche Schusswaffen-Assoziation wohl schlicht und ergreifend „Knaller!“ sagen.</w:t>
      </w:r>
    </w:p>
    <w:p w14:paraId="78692418" w14:textId="77777777" w:rsidR="00AF3C17" w:rsidRPr="005310F1" w:rsidRDefault="00AF3C17" w:rsidP="005310F1">
      <w:pPr>
        <w:rPr>
          <w:lang w:val="de-DE" w:eastAsia="de-DE"/>
        </w:rPr>
      </w:pPr>
    </w:p>
    <w:p w14:paraId="6A912FE8" w14:textId="01FE646F" w:rsidR="0094396A" w:rsidRDefault="005310F1" w:rsidP="005310F1">
      <w:pPr>
        <w:rPr>
          <w:lang w:val="de-DE" w:eastAsia="de-DE"/>
        </w:rPr>
      </w:pPr>
      <w:r w:rsidRPr="005310F1">
        <w:rPr>
          <w:lang w:val="de-DE" w:eastAsia="de-DE"/>
        </w:rPr>
        <w:t xml:space="preserve">„Mit zeitgemäßer Premium-Technologie sorgen Sennheiser Digital 6000 Drahtlossysteme auf der Tournee von </w:t>
      </w:r>
      <w:proofErr w:type="spellStart"/>
      <w:r w:rsidRPr="005310F1">
        <w:rPr>
          <w:lang w:val="de-DE" w:eastAsia="de-DE"/>
        </w:rPr>
        <w:t>Seeed</w:t>
      </w:r>
      <w:proofErr w:type="spellEnd"/>
      <w:r w:rsidRPr="005310F1">
        <w:rPr>
          <w:lang w:val="de-DE" w:eastAsia="de-DE"/>
        </w:rPr>
        <w:t xml:space="preserve"> nicht nur dafür, dass die markanten Bläsersätze kraftvoll reproduziert werden, sondern sie rücken auch die dynamische Gitarrenarbeit vorteilhaft in den Fokus“, kommentierte Thomas Holz, Sennheiser Business </w:t>
      </w:r>
      <w:proofErr w:type="spellStart"/>
      <w:r w:rsidRPr="005310F1">
        <w:rPr>
          <w:lang w:val="de-DE" w:eastAsia="de-DE"/>
        </w:rPr>
        <w:t>Specialist</w:t>
      </w:r>
      <w:proofErr w:type="spellEnd"/>
      <w:r w:rsidRPr="005310F1">
        <w:rPr>
          <w:lang w:val="de-DE" w:eastAsia="de-DE"/>
        </w:rPr>
        <w:t xml:space="preserve"> Touring &amp; Rental. „Sennheiser SKM 6000 Handsender samt transparent klingender MD 9235 Kapseln tragen ganz am Anfang der Signalkette entscheidend dazu bei, dass sich die Gesänge innerhalb des hochenergetischen Bigband-Sounds anstrengungslos bei bester Textverständlichkeit durchsetzen können.“</w:t>
      </w:r>
      <w:r>
        <w:rPr>
          <w:lang w:val="de-DE" w:eastAsia="de-DE"/>
        </w:rPr>
        <w:t xml:space="preserve"> </w:t>
      </w:r>
    </w:p>
    <w:p w14:paraId="175F9DBD" w14:textId="77777777" w:rsidR="005378CC" w:rsidRDefault="005378CC" w:rsidP="005310F1">
      <w:pPr>
        <w:rPr>
          <w:lang w:val="de-DE" w:eastAsia="de-DE"/>
        </w:rPr>
      </w:pPr>
    </w:p>
    <w:p w14:paraId="028E8855" w14:textId="77777777" w:rsidR="00E60D55" w:rsidRDefault="00E60D55" w:rsidP="00D04DA7">
      <w:pPr>
        <w:pStyle w:val="About"/>
        <w:rPr>
          <w:b/>
          <w:noProof/>
          <w:lang w:val="de-DE"/>
        </w:rPr>
      </w:pPr>
    </w:p>
    <w:p w14:paraId="3E8028F9" w14:textId="39AB7AB0" w:rsidR="00D04DA7" w:rsidRDefault="00D04DA7" w:rsidP="00D04DA7">
      <w:pPr>
        <w:pStyle w:val="About"/>
        <w:rPr>
          <w:b/>
          <w:noProof/>
          <w:lang w:val="de-DE"/>
        </w:rPr>
      </w:pPr>
      <w:r>
        <w:rPr>
          <w:b/>
          <w:noProof/>
          <w:lang w:val="de-DE"/>
        </w:rPr>
        <w:t>Über Sennheiser</w:t>
      </w:r>
    </w:p>
    <w:p w14:paraId="55B0B119" w14:textId="77777777" w:rsidR="00D04DA7" w:rsidRPr="00C96445" w:rsidRDefault="00D04DA7" w:rsidP="00D04DA7">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lang w:val="de-DE"/>
        </w:rPr>
        <w:t>www.sennheiser.com</w:t>
      </w:r>
    </w:p>
    <w:p w14:paraId="7686E159" w14:textId="77777777" w:rsidR="00D04DA7" w:rsidRDefault="00D04DA7" w:rsidP="00D04DA7">
      <w:pPr>
        <w:pStyle w:val="Contact"/>
        <w:rPr>
          <w:b/>
          <w:noProof/>
          <w:lang w:val="de-DE"/>
        </w:rPr>
      </w:pPr>
    </w:p>
    <w:p w14:paraId="2F80084C" w14:textId="77777777" w:rsidR="00D04DA7" w:rsidRDefault="00D04DA7" w:rsidP="00D04DA7">
      <w:pPr>
        <w:pStyle w:val="Contact"/>
        <w:rPr>
          <w:b/>
          <w:noProof/>
          <w:lang w:val="de-DE"/>
        </w:rPr>
      </w:pPr>
    </w:p>
    <w:p w14:paraId="5DCB13EA" w14:textId="77777777" w:rsidR="00D04DA7" w:rsidRPr="000E717A" w:rsidRDefault="00D04DA7" w:rsidP="00D04DA7">
      <w:pPr>
        <w:pStyle w:val="Contact"/>
        <w:rPr>
          <w:b/>
          <w:noProof/>
          <w:lang w:val="de-DE"/>
        </w:rPr>
      </w:pPr>
      <w:r>
        <w:rPr>
          <w:b/>
          <w:noProof/>
          <w:lang w:val="de-DE"/>
        </w:rPr>
        <w:t>Sennheiser</w:t>
      </w:r>
      <w:r w:rsidRPr="000E717A">
        <w:rPr>
          <w:b/>
          <w:noProof/>
          <w:lang w:val="de-DE"/>
        </w:rPr>
        <w:t xml:space="preserve"> Pressekontakt</w:t>
      </w:r>
    </w:p>
    <w:p w14:paraId="52C7DCB6" w14:textId="77777777" w:rsidR="00D04DA7" w:rsidRPr="000E717A" w:rsidRDefault="00D04DA7" w:rsidP="00D04DA7">
      <w:pPr>
        <w:pStyle w:val="Contact"/>
        <w:rPr>
          <w:noProof/>
          <w:lang w:val="de-DE"/>
        </w:rPr>
      </w:pPr>
    </w:p>
    <w:p w14:paraId="586B10C0" w14:textId="77777777" w:rsidR="00D04DA7" w:rsidRPr="000E717A" w:rsidRDefault="00D04DA7" w:rsidP="00D04DA7">
      <w:pPr>
        <w:pStyle w:val="Contact"/>
        <w:rPr>
          <w:noProof/>
          <w:color w:val="0095D5"/>
          <w:lang w:val="de-DE"/>
        </w:rPr>
      </w:pPr>
      <w:r w:rsidRPr="000E717A">
        <w:rPr>
          <w:noProof/>
          <w:color w:val="0095D5"/>
          <w:lang w:val="de-DE"/>
        </w:rPr>
        <w:t>Stefan Peters</w:t>
      </w:r>
      <w:r w:rsidRPr="000E717A">
        <w:rPr>
          <w:noProof/>
          <w:color w:val="0095D5"/>
          <w:lang w:val="de-DE"/>
        </w:rPr>
        <w:tab/>
      </w:r>
    </w:p>
    <w:p w14:paraId="1E6E7F67" w14:textId="77777777" w:rsidR="00D04DA7" w:rsidRPr="000E717A" w:rsidRDefault="00D04DA7" w:rsidP="00D04DA7">
      <w:pPr>
        <w:pStyle w:val="Contact"/>
        <w:rPr>
          <w:noProof/>
          <w:lang w:val="de-DE"/>
        </w:rPr>
      </w:pPr>
      <w:r w:rsidRPr="000E717A">
        <w:rPr>
          <w:noProof/>
          <w:lang w:val="de-DE"/>
        </w:rPr>
        <w:t>stefan.peters@sennheiser.com</w:t>
      </w:r>
      <w:r w:rsidRPr="000E717A">
        <w:rPr>
          <w:noProof/>
          <w:lang w:val="de-DE"/>
        </w:rPr>
        <w:tab/>
      </w:r>
    </w:p>
    <w:p w14:paraId="2D420157" w14:textId="099D70BA" w:rsidR="00DD28B4" w:rsidRPr="00622B0B" w:rsidRDefault="00D04DA7" w:rsidP="0094396A">
      <w:pPr>
        <w:pStyle w:val="Contact"/>
        <w:rPr>
          <w:noProof/>
          <w:lang w:val="de-DE"/>
        </w:rPr>
      </w:pPr>
      <w:r w:rsidRPr="000E717A">
        <w:rPr>
          <w:noProof/>
          <w:lang w:val="de-DE"/>
        </w:rPr>
        <w:t>+49 0(5130) 600 – 1026</w:t>
      </w:r>
      <w:r w:rsidR="00C7652A">
        <w:rPr>
          <w:lang w:val="de-DE"/>
        </w:rPr>
        <w:t xml:space="preserve"> </w:t>
      </w:r>
      <w:r w:rsidRPr="0078586E">
        <w:rPr>
          <w:lang w:val="de-DE"/>
        </w:rPr>
        <w:t xml:space="preserve"> </w:t>
      </w:r>
    </w:p>
    <w:sectPr w:rsidR="00DD28B4" w:rsidRPr="00622B0B" w:rsidSect="008E5D5C">
      <w:head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8686D" w14:textId="77777777" w:rsidR="003011DE" w:rsidRDefault="003011DE" w:rsidP="00CA1EB9">
      <w:pPr>
        <w:spacing w:line="240" w:lineRule="auto"/>
      </w:pPr>
      <w:r>
        <w:separator/>
      </w:r>
    </w:p>
  </w:endnote>
  <w:endnote w:type="continuationSeparator" w:id="0">
    <w:p w14:paraId="623064EF" w14:textId="77777777" w:rsidR="003011DE" w:rsidRDefault="003011D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05E27A6B-A875-4822-88CE-21892BC90111}"/>
    <w:embedBold r:id="rId2" w:fontKey="{5523F8E1-99CE-4C9A-B3F2-428D7BC2717B}"/>
    <w:embedBoldItalic r:id="rId3" w:fontKey="{6A852444-754C-4D26-8B6A-33CA1AD982BD}"/>
  </w:font>
  <w:font w:name="Tahoma">
    <w:panose1 w:val="020B0604030504040204"/>
    <w:charset w:val="00"/>
    <w:family w:val="swiss"/>
    <w:pitch w:val="variable"/>
    <w:sig w:usb0="E1002EFF" w:usb1="C000605B" w:usb2="00000029" w:usb3="00000000" w:csb0="000101FF" w:csb1="00000000"/>
    <w:embedRegular r:id="rId4" w:fontKey="{9CF61635-162C-4A38-950F-A88DD181F786}"/>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charset w:val="00"/>
    <w:family w:val="swiss"/>
    <w:pitch w:val="variable"/>
    <w:sig w:usb0="8000002F" w:usb1="1000004A" w:usb2="00000000" w:usb3="00000000" w:csb0="0000001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250A" w14:textId="77777777" w:rsidR="00695F01" w:rsidRDefault="00695F01">
    <w:pPr>
      <w:pStyle w:val="Fuzeile"/>
    </w:pPr>
    <w:r>
      <w:rPr>
        <w:noProof/>
        <w:lang w:val="en-US"/>
      </w:rPr>
      <w:drawing>
        <wp:anchor distT="0" distB="0" distL="114300" distR="114300" simplePos="0" relativeHeight="251673600" behindDoc="0" locked="1" layoutInCell="1" allowOverlap="1" wp14:anchorId="2F93F40D" wp14:editId="5A06653F">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8CC14" w14:textId="77777777" w:rsidR="003011DE" w:rsidRDefault="003011DE" w:rsidP="00CA1EB9">
      <w:pPr>
        <w:spacing w:line="240" w:lineRule="auto"/>
      </w:pPr>
      <w:r>
        <w:separator/>
      </w:r>
    </w:p>
  </w:footnote>
  <w:footnote w:type="continuationSeparator" w:id="0">
    <w:p w14:paraId="2A9495E4" w14:textId="77777777" w:rsidR="003011DE" w:rsidRDefault="003011D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A77C" w14:textId="0ED684BD"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419F589E" wp14:editId="191780D0">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70CC3468" w14:textId="77777777" w:rsidR="00695F01" w:rsidRPr="008E5D5C" w:rsidRDefault="00FC2259" w:rsidP="008E5D5C">
    <w:pPr>
      <w:pStyle w:val="Kopfzeile"/>
    </w:pPr>
    <w:r>
      <w:fldChar w:fldCharType="begin"/>
    </w:r>
    <w:r>
      <w:instrText xml:space="preserve"> PAGE  \* Arabic  \* MERGEFORMAT </w:instrText>
    </w:r>
    <w:r>
      <w:fldChar w:fldCharType="separate"/>
    </w:r>
    <w:r w:rsidR="00825897">
      <w:rPr>
        <w:noProof/>
      </w:rPr>
      <w:t>4</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825897">
      <w:rPr>
        <w:noProof/>
      </w:rPr>
      <w:t>4</w:t>
    </w:r>
    <w:r w:rsidR="00FA5B8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E466" w14:textId="7555217A"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5B5761E" wp14:editId="0D812C7A">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0802FCD1" w14:textId="77777777" w:rsidR="00695F01" w:rsidRPr="008E5D5C" w:rsidRDefault="00FC2259" w:rsidP="008E5D5C">
    <w:pPr>
      <w:pStyle w:val="Kopfzeile"/>
    </w:pPr>
    <w:r>
      <w:fldChar w:fldCharType="begin"/>
    </w:r>
    <w:r>
      <w:instrText xml:space="preserve"> PAGE  \* Arabic  \* MERGEFORMAT </w:instrText>
    </w:r>
    <w:r>
      <w:fldChar w:fldCharType="separate"/>
    </w:r>
    <w:r w:rsidR="009B1DB9">
      <w:rPr>
        <w:noProof/>
      </w:rPr>
      <w:t>1</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9B1DB9">
      <w:rPr>
        <w:noProof/>
      </w:rPr>
      <w:t>4</w:t>
    </w:r>
    <w:r w:rsidR="00FA5B8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D0E55"/>
    <w:multiLevelType w:val="hybridMultilevel"/>
    <w:tmpl w:val="FF260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A6322D"/>
    <w:multiLevelType w:val="hybridMultilevel"/>
    <w:tmpl w:val="6F74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E87E3C"/>
    <w:multiLevelType w:val="hybridMultilevel"/>
    <w:tmpl w:val="386CD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A37572"/>
    <w:multiLevelType w:val="hybridMultilevel"/>
    <w:tmpl w:val="B338E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E92A02"/>
    <w:multiLevelType w:val="hybridMultilevel"/>
    <w:tmpl w:val="99D4E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6DCB"/>
    <w:rsid w:val="000244BD"/>
    <w:rsid w:val="00030808"/>
    <w:rsid w:val="00054C9E"/>
    <w:rsid w:val="00075826"/>
    <w:rsid w:val="0008260F"/>
    <w:rsid w:val="00097515"/>
    <w:rsid w:val="000B036E"/>
    <w:rsid w:val="000C16C6"/>
    <w:rsid w:val="000D5AED"/>
    <w:rsid w:val="000F21F1"/>
    <w:rsid w:val="00100A93"/>
    <w:rsid w:val="00105DDC"/>
    <w:rsid w:val="00112C8D"/>
    <w:rsid w:val="00121501"/>
    <w:rsid w:val="00131BBC"/>
    <w:rsid w:val="00132275"/>
    <w:rsid w:val="001324A7"/>
    <w:rsid w:val="001340DD"/>
    <w:rsid w:val="0014006E"/>
    <w:rsid w:val="00144A15"/>
    <w:rsid w:val="0017152F"/>
    <w:rsid w:val="00182FEA"/>
    <w:rsid w:val="00186D04"/>
    <w:rsid w:val="00186EE2"/>
    <w:rsid w:val="001937CF"/>
    <w:rsid w:val="001965CE"/>
    <w:rsid w:val="001B46A8"/>
    <w:rsid w:val="001C1474"/>
    <w:rsid w:val="001C63D8"/>
    <w:rsid w:val="001D2505"/>
    <w:rsid w:val="001D4E25"/>
    <w:rsid w:val="001D646E"/>
    <w:rsid w:val="001E1E28"/>
    <w:rsid w:val="001F3001"/>
    <w:rsid w:val="00201BCD"/>
    <w:rsid w:val="002057CE"/>
    <w:rsid w:val="00206C05"/>
    <w:rsid w:val="002152EE"/>
    <w:rsid w:val="002203E8"/>
    <w:rsid w:val="0022379B"/>
    <w:rsid w:val="00225F0B"/>
    <w:rsid w:val="00227A04"/>
    <w:rsid w:val="00261ED8"/>
    <w:rsid w:val="00273A1F"/>
    <w:rsid w:val="00276590"/>
    <w:rsid w:val="00282A8D"/>
    <w:rsid w:val="00286C75"/>
    <w:rsid w:val="00296503"/>
    <w:rsid w:val="002A261E"/>
    <w:rsid w:val="002C2812"/>
    <w:rsid w:val="002C4FD6"/>
    <w:rsid w:val="002C6F4D"/>
    <w:rsid w:val="002D19CF"/>
    <w:rsid w:val="002D66AA"/>
    <w:rsid w:val="002E415C"/>
    <w:rsid w:val="002F37DF"/>
    <w:rsid w:val="002F485F"/>
    <w:rsid w:val="002F57CE"/>
    <w:rsid w:val="003011DE"/>
    <w:rsid w:val="00307132"/>
    <w:rsid w:val="00311C6F"/>
    <w:rsid w:val="00316B45"/>
    <w:rsid w:val="003236F2"/>
    <w:rsid w:val="00326FB8"/>
    <w:rsid w:val="00330B08"/>
    <w:rsid w:val="00341B7C"/>
    <w:rsid w:val="003547A3"/>
    <w:rsid w:val="00355492"/>
    <w:rsid w:val="0037220A"/>
    <w:rsid w:val="00375ACD"/>
    <w:rsid w:val="003A118C"/>
    <w:rsid w:val="003B6330"/>
    <w:rsid w:val="003D06A1"/>
    <w:rsid w:val="003D4296"/>
    <w:rsid w:val="003E3F5C"/>
    <w:rsid w:val="003E576F"/>
    <w:rsid w:val="003F33CF"/>
    <w:rsid w:val="003F4890"/>
    <w:rsid w:val="0040059F"/>
    <w:rsid w:val="0040410E"/>
    <w:rsid w:val="00407687"/>
    <w:rsid w:val="00433002"/>
    <w:rsid w:val="00436960"/>
    <w:rsid w:val="00447ABE"/>
    <w:rsid w:val="00453B3E"/>
    <w:rsid w:val="00454836"/>
    <w:rsid w:val="00482B04"/>
    <w:rsid w:val="004A7066"/>
    <w:rsid w:val="004D2862"/>
    <w:rsid w:val="004D5C31"/>
    <w:rsid w:val="004D7460"/>
    <w:rsid w:val="004D7F11"/>
    <w:rsid w:val="004E1375"/>
    <w:rsid w:val="004E69CA"/>
    <w:rsid w:val="00520FB1"/>
    <w:rsid w:val="00521FBE"/>
    <w:rsid w:val="0052306F"/>
    <w:rsid w:val="00523449"/>
    <w:rsid w:val="005310F1"/>
    <w:rsid w:val="005327DB"/>
    <w:rsid w:val="00533D3C"/>
    <w:rsid w:val="005378CC"/>
    <w:rsid w:val="005441A1"/>
    <w:rsid w:val="005444CD"/>
    <w:rsid w:val="00553A65"/>
    <w:rsid w:val="00561F47"/>
    <w:rsid w:val="0056312B"/>
    <w:rsid w:val="0057327A"/>
    <w:rsid w:val="00595C3A"/>
    <w:rsid w:val="005A2435"/>
    <w:rsid w:val="005A4678"/>
    <w:rsid w:val="005A6F00"/>
    <w:rsid w:val="005B0436"/>
    <w:rsid w:val="005B3713"/>
    <w:rsid w:val="005C1F67"/>
    <w:rsid w:val="005C7BB3"/>
    <w:rsid w:val="005D571F"/>
    <w:rsid w:val="005E397C"/>
    <w:rsid w:val="005E4A41"/>
    <w:rsid w:val="005F5823"/>
    <w:rsid w:val="0060142B"/>
    <w:rsid w:val="006108B6"/>
    <w:rsid w:val="00612170"/>
    <w:rsid w:val="00614816"/>
    <w:rsid w:val="00622B0B"/>
    <w:rsid w:val="0062691E"/>
    <w:rsid w:val="0063235B"/>
    <w:rsid w:val="0064392C"/>
    <w:rsid w:val="00653796"/>
    <w:rsid w:val="00656776"/>
    <w:rsid w:val="00662E05"/>
    <w:rsid w:val="00670C73"/>
    <w:rsid w:val="00675CA7"/>
    <w:rsid w:val="00682A62"/>
    <w:rsid w:val="00695F01"/>
    <w:rsid w:val="006D7DD5"/>
    <w:rsid w:val="006E7C88"/>
    <w:rsid w:val="006F058F"/>
    <w:rsid w:val="00703C95"/>
    <w:rsid w:val="007054ED"/>
    <w:rsid w:val="007103C8"/>
    <w:rsid w:val="0071600A"/>
    <w:rsid w:val="007237E9"/>
    <w:rsid w:val="007311EB"/>
    <w:rsid w:val="00732897"/>
    <w:rsid w:val="00757B33"/>
    <w:rsid w:val="0076313D"/>
    <w:rsid w:val="007655EA"/>
    <w:rsid w:val="00766E21"/>
    <w:rsid w:val="0077228E"/>
    <w:rsid w:val="00790F4A"/>
    <w:rsid w:val="00792CD4"/>
    <w:rsid w:val="007A7D01"/>
    <w:rsid w:val="007C1577"/>
    <w:rsid w:val="007C4F79"/>
    <w:rsid w:val="007E7A55"/>
    <w:rsid w:val="007F2BDC"/>
    <w:rsid w:val="00806E64"/>
    <w:rsid w:val="00813B08"/>
    <w:rsid w:val="0082200D"/>
    <w:rsid w:val="00825897"/>
    <w:rsid w:val="00826A5F"/>
    <w:rsid w:val="00834B2E"/>
    <w:rsid w:val="008364A5"/>
    <w:rsid w:val="00837117"/>
    <w:rsid w:val="00862561"/>
    <w:rsid w:val="0086535A"/>
    <w:rsid w:val="00877240"/>
    <w:rsid w:val="00880864"/>
    <w:rsid w:val="00896BCA"/>
    <w:rsid w:val="00896EC3"/>
    <w:rsid w:val="008A1CC3"/>
    <w:rsid w:val="008C2033"/>
    <w:rsid w:val="008D6CAB"/>
    <w:rsid w:val="008E5D5C"/>
    <w:rsid w:val="00900DA0"/>
    <w:rsid w:val="0093014B"/>
    <w:rsid w:val="009302B0"/>
    <w:rsid w:val="009320A9"/>
    <w:rsid w:val="0094085A"/>
    <w:rsid w:val="0094396A"/>
    <w:rsid w:val="00945D7A"/>
    <w:rsid w:val="0096404E"/>
    <w:rsid w:val="0097032E"/>
    <w:rsid w:val="00977493"/>
    <w:rsid w:val="009809FA"/>
    <w:rsid w:val="0099085F"/>
    <w:rsid w:val="00994C7B"/>
    <w:rsid w:val="009955C5"/>
    <w:rsid w:val="009A0C63"/>
    <w:rsid w:val="009B1DB9"/>
    <w:rsid w:val="009C44B5"/>
    <w:rsid w:val="009C45A2"/>
    <w:rsid w:val="009D620C"/>
    <w:rsid w:val="009D6AD5"/>
    <w:rsid w:val="009E05D8"/>
    <w:rsid w:val="009E6432"/>
    <w:rsid w:val="009E6952"/>
    <w:rsid w:val="009E6A34"/>
    <w:rsid w:val="009F5DA1"/>
    <w:rsid w:val="00A40CCC"/>
    <w:rsid w:val="00A4127A"/>
    <w:rsid w:val="00A52224"/>
    <w:rsid w:val="00A5686E"/>
    <w:rsid w:val="00A637E9"/>
    <w:rsid w:val="00A747D3"/>
    <w:rsid w:val="00A81178"/>
    <w:rsid w:val="00A81DBB"/>
    <w:rsid w:val="00A90D38"/>
    <w:rsid w:val="00A96082"/>
    <w:rsid w:val="00AA5D09"/>
    <w:rsid w:val="00AB0C5A"/>
    <w:rsid w:val="00AB48ED"/>
    <w:rsid w:val="00AB5767"/>
    <w:rsid w:val="00AC4E77"/>
    <w:rsid w:val="00AD75E0"/>
    <w:rsid w:val="00AE0EF3"/>
    <w:rsid w:val="00AE2057"/>
    <w:rsid w:val="00AF0C90"/>
    <w:rsid w:val="00AF3C17"/>
    <w:rsid w:val="00B02268"/>
    <w:rsid w:val="00B11C2B"/>
    <w:rsid w:val="00B20E88"/>
    <w:rsid w:val="00B277B6"/>
    <w:rsid w:val="00B45DB3"/>
    <w:rsid w:val="00B476AD"/>
    <w:rsid w:val="00B56351"/>
    <w:rsid w:val="00B93061"/>
    <w:rsid w:val="00BB1ECA"/>
    <w:rsid w:val="00BB330D"/>
    <w:rsid w:val="00BD277B"/>
    <w:rsid w:val="00C003CF"/>
    <w:rsid w:val="00C029FB"/>
    <w:rsid w:val="00C05BEE"/>
    <w:rsid w:val="00C147E5"/>
    <w:rsid w:val="00C15DD0"/>
    <w:rsid w:val="00C24DAB"/>
    <w:rsid w:val="00C40202"/>
    <w:rsid w:val="00C47AFA"/>
    <w:rsid w:val="00C66075"/>
    <w:rsid w:val="00C7652A"/>
    <w:rsid w:val="00C76DD8"/>
    <w:rsid w:val="00C80555"/>
    <w:rsid w:val="00C8099E"/>
    <w:rsid w:val="00C83951"/>
    <w:rsid w:val="00C91ACD"/>
    <w:rsid w:val="00CA1EB9"/>
    <w:rsid w:val="00CA543E"/>
    <w:rsid w:val="00CB5F9D"/>
    <w:rsid w:val="00CB6CCE"/>
    <w:rsid w:val="00CC06C6"/>
    <w:rsid w:val="00CD4FCE"/>
    <w:rsid w:val="00CD5497"/>
    <w:rsid w:val="00CE5137"/>
    <w:rsid w:val="00CF2B77"/>
    <w:rsid w:val="00D0201D"/>
    <w:rsid w:val="00D04709"/>
    <w:rsid w:val="00D04DA7"/>
    <w:rsid w:val="00D22EA6"/>
    <w:rsid w:val="00D4086C"/>
    <w:rsid w:val="00D4630F"/>
    <w:rsid w:val="00D54C8A"/>
    <w:rsid w:val="00D644ED"/>
    <w:rsid w:val="00D666EE"/>
    <w:rsid w:val="00D87B31"/>
    <w:rsid w:val="00D9152F"/>
    <w:rsid w:val="00DA738B"/>
    <w:rsid w:val="00DB6018"/>
    <w:rsid w:val="00DC5E0E"/>
    <w:rsid w:val="00DC69CF"/>
    <w:rsid w:val="00DD28B4"/>
    <w:rsid w:val="00DF1B15"/>
    <w:rsid w:val="00DF7B7B"/>
    <w:rsid w:val="00E101AB"/>
    <w:rsid w:val="00E16488"/>
    <w:rsid w:val="00E21887"/>
    <w:rsid w:val="00E233E0"/>
    <w:rsid w:val="00E24C4E"/>
    <w:rsid w:val="00E42C92"/>
    <w:rsid w:val="00E46EE0"/>
    <w:rsid w:val="00E47856"/>
    <w:rsid w:val="00E507A3"/>
    <w:rsid w:val="00E51CFE"/>
    <w:rsid w:val="00E56063"/>
    <w:rsid w:val="00E60D55"/>
    <w:rsid w:val="00E908F2"/>
    <w:rsid w:val="00EB4595"/>
    <w:rsid w:val="00EB6084"/>
    <w:rsid w:val="00EC576E"/>
    <w:rsid w:val="00EE3252"/>
    <w:rsid w:val="00EE51D1"/>
    <w:rsid w:val="00F04234"/>
    <w:rsid w:val="00F066D3"/>
    <w:rsid w:val="00F26877"/>
    <w:rsid w:val="00F33E2F"/>
    <w:rsid w:val="00F36283"/>
    <w:rsid w:val="00F42235"/>
    <w:rsid w:val="00F45AA6"/>
    <w:rsid w:val="00F45F5C"/>
    <w:rsid w:val="00F51D7D"/>
    <w:rsid w:val="00F6043C"/>
    <w:rsid w:val="00F63DC4"/>
    <w:rsid w:val="00F63E1E"/>
    <w:rsid w:val="00F75316"/>
    <w:rsid w:val="00F756AB"/>
    <w:rsid w:val="00F758E1"/>
    <w:rsid w:val="00FA36D5"/>
    <w:rsid w:val="00FA5B88"/>
    <w:rsid w:val="00FA5BEA"/>
    <w:rsid w:val="00FA63C3"/>
    <w:rsid w:val="00FB7038"/>
    <w:rsid w:val="00FC2259"/>
    <w:rsid w:val="00FD66B1"/>
    <w:rsid w:val="00FD69BF"/>
    <w:rsid w:val="00FE3A4E"/>
    <w:rsid w:val="00FE5DE3"/>
    <w:rsid w:val="00FF0855"/>
    <w:rsid w:val="0114AEAA"/>
    <w:rsid w:val="07A073A7"/>
    <w:rsid w:val="0FC7B43B"/>
    <w:rsid w:val="22EE360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E4C873"/>
  <w15:docId w15:val="{285B6622-B490-4CF1-9067-F5CD5345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A6F0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6F00"/>
    <w:rPr>
      <w:rFonts w:ascii="Tahoma" w:hAnsi="Tahoma" w:cs="Tahoma"/>
      <w:sz w:val="16"/>
      <w:szCs w:val="16"/>
      <w:lang w:val="en-GB"/>
    </w:rPr>
  </w:style>
  <w:style w:type="paragraph" w:customStyle="1" w:styleId="BodyA">
    <w:name w:val="Body A"/>
    <w:rsid w:val="005A6F00"/>
    <w:pPr>
      <w:pBdr>
        <w:top w:val="nil"/>
        <w:left w:val="nil"/>
        <w:bottom w:val="nil"/>
        <w:right w:val="nil"/>
        <w:between w:val="nil"/>
        <w:bar w:val="nil"/>
      </w:pBdr>
      <w:spacing w:after="0" w:line="336" w:lineRule="auto"/>
      <w:jc w:val="both"/>
    </w:pPr>
    <w:rPr>
      <w:rFonts w:ascii="Andale Mono" w:eastAsia="Arial Unicode MS" w:hAnsi="Arial Unicode MS" w:cs="Arial Unicode MS"/>
      <w:color w:val="000000"/>
      <w:sz w:val="24"/>
      <w:szCs w:val="24"/>
      <w:u w:color="000000"/>
      <w:bdr w:val="nil"/>
      <w:lang w:val="en-US" w:eastAsia="de-DE"/>
    </w:rPr>
  </w:style>
  <w:style w:type="character" w:styleId="Fett">
    <w:name w:val="Strong"/>
    <w:aliases w:val="Überschrift"/>
    <w:uiPriority w:val="99"/>
    <w:qFormat/>
    <w:rsid w:val="005A6F00"/>
    <w:rPr>
      <w:rFonts w:ascii="Sennheiser-Bold" w:hAnsi="Sennheiser-Bold" w:cs="Times New Roman"/>
      <w:sz w:val="22"/>
    </w:rPr>
  </w:style>
  <w:style w:type="character" w:styleId="Kommentarzeichen">
    <w:name w:val="annotation reference"/>
    <w:basedOn w:val="Absatz-Standardschriftart"/>
    <w:uiPriority w:val="99"/>
    <w:semiHidden/>
    <w:unhideWhenUsed/>
    <w:rsid w:val="005441A1"/>
    <w:rPr>
      <w:sz w:val="16"/>
      <w:szCs w:val="16"/>
    </w:rPr>
  </w:style>
  <w:style w:type="paragraph" w:styleId="Kommentartext">
    <w:name w:val="annotation text"/>
    <w:basedOn w:val="Standard"/>
    <w:link w:val="KommentartextZchn"/>
    <w:uiPriority w:val="99"/>
    <w:semiHidden/>
    <w:unhideWhenUsed/>
    <w:rsid w:val="005441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41A1"/>
    <w:rPr>
      <w:sz w:val="20"/>
      <w:szCs w:val="20"/>
      <w:lang w:val="en-GB"/>
    </w:rPr>
  </w:style>
  <w:style w:type="paragraph" w:styleId="Kommentarthema">
    <w:name w:val="annotation subject"/>
    <w:basedOn w:val="Kommentartext"/>
    <w:next w:val="Kommentartext"/>
    <w:link w:val="KommentarthemaZchn"/>
    <w:uiPriority w:val="99"/>
    <w:semiHidden/>
    <w:unhideWhenUsed/>
    <w:rsid w:val="005441A1"/>
    <w:rPr>
      <w:b/>
      <w:bCs/>
    </w:rPr>
  </w:style>
  <w:style w:type="character" w:customStyle="1" w:styleId="KommentarthemaZchn">
    <w:name w:val="Kommentarthema Zchn"/>
    <w:basedOn w:val="KommentartextZchn"/>
    <w:link w:val="Kommentarthema"/>
    <w:uiPriority w:val="99"/>
    <w:semiHidden/>
    <w:rsid w:val="005441A1"/>
    <w:rPr>
      <w:b/>
      <w:bCs/>
      <w:sz w:val="20"/>
      <w:szCs w:val="20"/>
      <w:lang w:val="en-GB"/>
    </w:rPr>
  </w:style>
  <w:style w:type="character" w:styleId="BesuchterLink">
    <w:name w:val="FollowedHyperlink"/>
    <w:basedOn w:val="Absatz-Standardschriftart"/>
    <w:uiPriority w:val="99"/>
    <w:semiHidden/>
    <w:unhideWhenUsed/>
    <w:rsid w:val="004D7F11"/>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703C95"/>
    <w:rPr>
      <w:color w:val="605E5C"/>
      <w:shd w:val="clear" w:color="auto" w:fill="E1DFDD"/>
    </w:rPr>
  </w:style>
  <w:style w:type="paragraph" w:styleId="Listenabsatz">
    <w:name w:val="List Paragraph"/>
    <w:basedOn w:val="Standard"/>
    <w:uiPriority w:val="34"/>
    <w:rsid w:val="00225F0B"/>
    <w:pPr>
      <w:ind w:left="720"/>
      <w:contextualSpacing/>
    </w:pPr>
  </w:style>
  <w:style w:type="paragraph" w:styleId="berarbeitung">
    <w:name w:val="Revision"/>
    <w:hidden/>
    <w:uiPriority w:val="99"/>
    <w:semiHidden/>
    <w:rsid w:val="00A81DBB"/>
    <w:pPr>
      <w:spacing w:after="0" w:line="240" w:lineRule="auto"/>
    </w:pPr>
    <w:rPr>
      <w:sz w:val="18"/>
      <w:lang w:val="en-GB"/>
    </w:rPr>
  </w:style>
  <w:style w:type="paragraph" w:customStyle="1" w:styleId="PPST05Zwischenberschrift">
    <w:name w:val="PP ST05 Zwischenüberschrift"/>
    <w:basedOn w:val="Standard"/>
    <w:next w:val="Standard"/>
    <w:rsid w:val="009955C5"/>
    <w:pPr>
      <w:tabs>
        <w:tab w:val="left" w:pos="284"/>
      </w:tabs>
      <w:spacing w:after="120" w:line="240" w:lineRule="auto"/>
    </w:pPr>
    <w:rPr>
      <w:rFonts w:ascii="Arial" w:eastAsia="Times New Roman" w:hAnsi="Arial" w:cs="Times New Roman"/>
      <w:b/>
      <w:color w:val="333333"/>
      <w:sz w:val="22"/>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708">
      <w:bodyDiv w:val="1"/>
      <w:marLeft w:val="0"/>
      <w:marRight w:val="0"/>
      <w:marTop w:val="0"/>
      <w:marBottom w:val="0"/>
      <w:divBdr>
        <w:top w:val="none" w:sz="0" w:space="0" w:color="auto"/>
        <w:left w:val="none" w:sz="0" w:space="0" w:color="auto"/>
        <w:bottom w:val="none" w:sz="0" w:space="0" w:color="auto"/>
        <w:right w:val="none" w:sz="0" w:space="0" w:color="auto"/>
      </w:divBdr>
    </w:div>
    <w:div w:id="45029985">
      <w:bodyDiv w:val="1"/>
      <w:marLeft w:val="0"/>
      <w:marRight w:val="0"/>
      <w:marTop w:val="0"/>
      <w:marBottom w:val="0"/>
      <w:divBdr>
        <w:top w:val="none" w:sz="0" w:space="0" w:color="auto"/>
        <w:left w:val="none" w:sz="0" w:space="0" w:color="auto"/>
        <w:bottom w:val="none" w:sz="0" w:space="0" w:color="auto"/>
        <w:right w:val="none" w:sz="0" w:space="0" w:color="auto"/>
      </w:divBdr>
    </w:div>
    <w:div w:id="469979518">
      <w:bodyDiv w:val="1"/>
      <w:marLeft w:val="0"/>
      <w:marRight w:val="0"/>
      <w:marTop w:val="0"/>
      <w:marBottom w:val="0"/>
      <w:divBdr>
        <w:top w:val="none" w:sz="0" w:space="0" w:color="auto"/>
        <w:left w:val="none" w:sz="0" w:space="0" w:color="auto"/>
        <w:bottom w:val="none" w:sz="0" w:space="0" w:color="auto"/>
        <w:right w:val="none" w:sz="0" w:space="0" w:color="auto"/>
      </w:divBdr>
    </w:div>
    <w:div w:id="528177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8901">
          <w:marLeft w:val="0"/>
          <w:marRight w:val="0"/>
          <w:marTop w:val="0"/>
          <w:marBottom w:val="0"/>
          <w:divBdr>
            <w:top w:val="none" w:sz="0" w:space="0" w:color="auto"/>
            <w:left w:val="none" w:sz="0" w:space="0" w:color="auto"/>
            <w:bottom w:val="none" w:sz="0" w:space="0" w:color="auto"/>
            <w:right w:val="none" w:sz="0" w:space="0" w:color="auto"/>
          </w:divBdr>
          <w:divsChild>
            <w:div w:id="2073652115">
              <w:marLeft w:val="0"/>
              <w:marRight w:val="0"/>
              <w:marTop w:val="0"/>
              <w:marBottom w:val="0"/>
              <w:divBdr>
                <w:top w:val="none" w:sz="0" w:space="0" w:color="auto"/>
                <w:left w:val="none" w:sz="0" w:space="0" w:color="auto"/>
                <w:bottom w:val="none" w:sz="0" w:space="0" w:color="auto"/>
                <w:right w:val="none" w:sz="0" w:space="0" w:color="auto"/>
              </w:divBdr>
              <w:divsChild>
                <w:div w:id="578829910">
                  <w:marLeft w:val="0"/>
                  <w:marRight w:val="0"/>
                  <w:marTop w:val="0"/>
                  <w:marBottom w:val="0"/>
                  <w:divBdr>
                    <w:top w:val="none" w:sz="0" w:space="0" w:color="auto"/>
                    <w:left w:val="none" w:sz="0" w:space="0" w:color="auto"/>
                    <w:bottom w:val="none" w:sz="0" w:space="0" w:color="auto"/>
                    <w:right w:val="none" w:sz="0" w:space="0" w:color="auto"/>
                  </w:divBdr>
                </w:div>
              </w:divsChild>
            </w:div>
            <w:div w:id="499195067">
              <w:marLeft w:val="0"/>
              <w:marRight w:val="0"/>
              <w:marTop w:val="0"/>
              <w:marBottom w:val="0"/>
              <w:divBdr>
                <w:top w:val="none" w:sz="0" w:space="0" w:color="auto"/>
                <w:left w:val="none" w:sz="0" w:space="0" w:color="auto"/>
                <w:bottom w:val="none" w:sz="0" w:space="0" w:color="auto"/>
                <w:right w:val="none" w:sz="0" w:space="0" w:color="auto"/>
              </w:divBdr>
              <w:divsChild>
                <w:div w:id="3246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8649">
      <w:bodyDiv w:val="1"/>
      <w:marLeft w:val="0"/>
      <w:marRight w:val="0"/>
      <w:marTop w:val="0"/>
      <w:marBottom w:val="0"/>
      <w:divBdr>
        <w:top w:val="none" w:sz="0" w:space="0" w:color="auto"/>
        <w:left w:val="none" w:sz="0" w:space="0" w:color="auto"/>
        <w:bottom w:val="none" w:sz="0" w:space="0" w:color="auto"/>
        <w:right w:val="none" w:sz="0" w:space="0" w:color="auto"/>
      </w:divBdr>
    </w:div>
    <w:div w:id="944727107">
      <w:bodyDiv w:val="1"/>
      <w:marLeft w:val="0"/>
      <w:marRight w:val="0"/>
      <w:marTop w:val="0"/>
      <w:marBottom w:val="0"/>
      <w:divBdr>
        <w:top w:val="none" w:sz="0" w:space="0" w:color="auto"/>
        <w:left w:val="none" w:sz="0" w:space="0" w:color="auto"/>
        <w:bottom w:val="none" w:sz="0" w:space="0" w:color="auto"/>
        <w:right w:val="none" w:sz="0" w:space="0" w:color="auto"/>
      </w:divBdr>
    </w:div>
    <w:div w:id="1643927949">
      <w:bodyDiv w:val="1"/>
      <w:marLeft w:val="0"/>
      <w:marRight w:val="0"/>
      <w:marTop w:val="0"/>
      <w:marBottom w:val="0"/>
      <w:divBdr>
        <w:top w:val="none" w:sz="0" w:space="0" w:color="auto"/>
        <w:left w:val="none" w:sz="0" w:space="0" w:color="auto"/>
        <w:bottom w:val="none" w:sz="0" w:space="0" w:color="auto"/>
        <w:right w:val="none" w:sz="0" w:space="0" w:color="auto"/>
      </w:divBdr>
    </w:div>
    <w:div w:id="20366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0" ma:contentTypeDescription="Create a new document." ma:contentTypeScope="" ma:versionID="45e141c636ee0afadc961bb40a34f390">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83d6175e42af1ac118c749e64d0765a1"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5499c1b-b417-4bab-9a90-ea43ea321e5c">
      <UserInfo>
        <DisplayName>Holz, Thomas</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157FC-8CE7-46F3-897E-9C2DA0DD0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22208-A56E-4B77-B545-8C8772EB79D4}">
  <ds:schemaRefs>
    <ds:schemaRef ds:uri="http://schemas.microsoft.com/sharepoint/v3/contenttype/forms"/>
  </ds:schemaRefs>
</ds:datastoreItem>
</file>

<file path=customXml/itemProps3.xml><?xml version="1.0" encoding="utf-8"?>
<ds:datastoreItem xmlns:ds="http://schemas.openxmlformats.org/officeDocument/2006/customXml" ds:itemID="{C0D6E62E-2BE0-4EB0-AE53-3B769E8F8F4F}">
  <ds:schemaRefs>
    <ds:schemaRef ds:uri="http://purl.org/dc/dcmitype/"/>
    <ds:schemaRef ds:uri="http://schemas.microsoft.com/office/infopath/2007/PartnerControls"/>
    <ds:schemaRef ds:uri="http://purl.org/dc/elements/1.1/"/>
    <ds:schemaRef ds:uri="http://schemas.microsoft.com/office/2006/metadata/properties"/>
    <ds:schemaRef ds:uri="a5499c1b-b417-4bab-9a90-ea43ea321e5c"/>
    <ds:schemaRef ds:uri="http://schemas.microsoft.com/office/2006/documentManagement/types"/>
    <ds:schemaRef ds:uri="b5baac0c-78f6-4287-bd7d-352235d7398f"/>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CA421CC0-56FB-4F36-9FD2-F965A6C29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1049</Words>
  <Characters>6610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20</cp:revision>
  <cp:lastPrinted>2019-12-12T09:59:00Z</cp:lastPrinted>
  <dcterms:created xsi:type="dcterms:W3CDTF">2019-10-22T14:12:00Z</dcterms:created>
  <dcterms:modified xsi:type="dcterms:W3CDTF">2019-12-12T10:48:00Z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